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1B01A" w14:textId="77777777" w:rsidR="0076199B" w:rsidRPr="00141A5B" w:rsidRDefault="0076199B" w:rsidP="0076199B">
      <w:pPr>
        <w:tabs>
          <w:tab w:val="right" w:pos="8506"/>
        </w:tabs>
        <w:spacing w:after="0"/>
        <w:jc w:val="right"/>
        <w:rPr>
          <w:rFonts w:ascii="Times New Roman" w:hAnsi="Times New Roman" w:cs="Times New Roman"/>
          <w:sz w:val="24"/>
          <w:szCs w:val="24"/>
        </w:rPr>
      </w:pPr>
      <w:bookmarkStart w:id="0" w:name="_Toc4140537"/>
      <w:bookmarkStart w:id="1" w:name="_Hlk21898711"/>
      <w:r w:rsidRPr="00141A5B">
        <w:rPr>
          <w:rFonts w:ascii="Times New Roman" w:hAnsi="Times New Roman" w:cs="Times New Roman"/>
          <w:sz w:val="24"/>
          <w:szCs w:val="24"/>
        </w:rPr>
        <w:t xml:space="preserve">Majalah Farmaseutik Vol. </w:t>
      </w:r>
    </w:p>
    <w:p w14:paraId="67DDC982" w14:textId="77777777" w:rsidR="0076199B" w:rsidRPr="00141A5B" w:rsidRDefault="0076199B" w:rsidP="0076199B">
      <w:pPr>
        <w:spacing w:after="0" w:line="265" w:lineRule="auto"/>
        <w:ind w:right="43"/>
        <w:jc w:val="right"/>
        <w:rPr>
          <w:rFonts w:ascii="Times New Roman" w:hAnsi="Times New Roman" w:cs="Times New Roman"/>
          <w:sz w:val="24"/>
          <w:szCs w:val="24"/>
        </w:rPr>
      </w:pPr>
      <w:r w:rsidRPr="00141A5B">
        <w:rPr>
          <w:rFonts w:ascii="Times New Roman" w:hAnsi="Times New Roman" w:cs="Times New Roman"/>
          <w:sz w:val="24"/>
          <w:szCs w:val="24"/>
        </w:rPr>
        <w:t>ISSN-</w:t>
      </w:r>
      <w:proofErr w:type="gramStart"/>
      <w:r w:rsidRPr="00141A5B">
        <w:rPr>
          <w:rFonts w:ascii="Times New Roman" w:hAnsi="Times New Roman" w:cs="Times New Roman"/>
          <w:sz w:val="24"/>
          <w:szCs w:val="24"/>
        </w:rPr>
        <w:t>p :</w:t>
      </w:r>
      <w:proofErr w:type="gramEnd"/>
      <w:r w:rsidRPr="00141A5B">
        <w:rPr>
          <w:rFonts w:ascii="Times New Roman" w:hAnsi="Times New Roman" w:cs="Times New Roman"/>
          <w:sz w:val="24"/>
          <w:szCs w:val="24"/>
        </w:rPr>
        <w:t xml:space="preserve"> 1410-590x </w:t>
      </w:r>
    </w:p>
    <w:p w14:paraId="04EEE19B" w14:textId="0607D7ED" w:rsidR="0076199B" w:rsidRDefault="0076199B" w:rsidP="0076199B">
      <w:pPr>
        <w:jc w:val="right"/>
        <w:rPr>
          <w:rFonts w:ascii="Times New Roman" w:hAnsi="Times New Roman" w:cs="Times New Roman"/>
          <w:sz w:val="24"/>
          <w:szCs w:val="24"/>
        </w:rPr>
      </w:pPr>
      <w:r w:rsidRPr="00141A5B">
        <w:rPr>
          <w:rFonts w:ascii="Times New Roman" w:hAnsi="Times New Roman" w:cs="Times New Roman"/>
          <w:sz w:val="24"/>
          <w:szCs w:val="24"/>
        </w:rPr>
        <w:t>ISSN-</w:t>
      </w:r>
      <w:proofErr w:type="gramStart"/>
      <w:r w:rsidRPr="00141A5B">
        <w:rPr>
          <w:rFonts w:ascii="Times New Roman" w:hAnsi="Times New Roman" w:cs="Times New Roman"/>
          <w:sz w:val="24"/>
          <w:szCs w:val="24"/>
        </w:rPr>
        <w:t>e :</w:t>
      </w:r>
      <w:proofErr w:type="gramEnd"/>
      <w:r w:rsidRPr="00141A5B">
        <w:rPr>
          <w:rFonts w:ascii="Times New Roman" w:hAnsi="Times New Roman" w:cs="Times New Roman"/>
          <w:sz w:val="24"/>
          <w:szCs w:val="24"/>
        </w:rPr>
        <w:t xml:space="preserve"> 2614-0063</w:t>
      </w:r>
    </w:p>
    <w:p w14:paraId="75F356FE" w14:textId="77777777" w:rsidR="0076199B" w:rsidRDefault="0076199B" w:rsidP="0076199B">
      <w:pPr>
        <w:jc w:val="right"/>
        <w:rPr>
          <w:rFonts w:ascii="Times New Roman" w:hAnsi="Times New Roman" w:cs="Times New Roman"/>
          <w:sz w:val="24"/>
          <w:szCs w:val="24"/>
        </w:rPr>
      </w:pPr>
    </w:p>
    <w:p w14:paraId="788EBFF3" w14:textId="3AE52CA7" w:rsidR="00150F0B" w:rsidRPr="0076199B" w:rsidRDefault="004375C4" w:rsidP="0076199B">
      <w:pPr>
        <w:jc w:val="both"/>
        <w:rPr>
          <w:rFonts w:ascii="Times New Roman" w:hAnsi="Times New Roman" w:cs="Times New Roman"/>
          <w:b/>
          <w:sz w:val="24"/>
          <w:szCs w:val="24"/>
        </w:rPr>
      </w:pPr>
      <w:r w:rsidRPr="0076199B">
        <w:rPr>
          <w:rFonts w:ascii="Times New Roman" w:hAnsi="Times New Roman" w:cs="Times New Roman"/>
          <w:b/>
          <w:sz w:val="24"/>
          <w:szCs w:val="24"/>
        </w:rPr>
        <w:t>EVALUASI PENGGUNAAN ANTIBIOTIK EMPIRIK TERHADAP OUTCOME KLINIK DAN GAMBARAN ANTIBIOGRAM PADA PASIEN ISPA DI PUSKESMAS JETIS YOGYAKARTA</w:t>
      </w:r>
      <w:bookmarkEnd w:id="0"/>
    </w:p>
    <w:p w14:paraId="7D082950" w14:textId="3D25E783" w:rsidR="004375C4" w:rsidRDefault="004375C4"/>
    <w:p w14:paraId="6569A5AD" w14:textId="72330C4D" w:rsidR="004375C4" w:rsidRPr="0076199B" w:rsidRDefault="004375C4" w:rsidP="004375C4">
      <w:pPr>
        <w:spacing w:line="240" w:lineRule="auto"/>
        <w:rPr>
          <w:rFonts w:ascii="Times New Roman" w:hAnsi="Times New Roman" w:cs="Times New Roman"/>
          <w:b/>
          <w:sz w:val="24"/>
          <w:szCs w:val="24"/>
          <w:vertAlign w:val="superscript"/>
          <w:lang w:val="en-ID"/>
        </w:rPr>
      </w:pPr>
      <w:r w:rsidRPr="00767105">
        <w:rPr>
          <w:rFonts w:ascii="Times New Roman" w:hAnsi="Times New Roman" w:cs="Times New Roman"/>
          <w:b/>
          <w:sz w:val="24"/>
          <w:szCs w:val="24"/>
        </w:rPr>
        <w:t>Kris Kurniawan</w:t>
      </w:r>
      <w:r w:rsidR="0076199B">
        <w:rPr>
          <w:rFonts w:ascii="Times New Roman" w:hAnsi="Times New Roman" w:cs="Times New Roman"/>
          <w:b/>
          <w:sz w:val="24"/>
          <w:szCs w:val="24"/>
          <w:vertAlign w:val="superscript"/>
        </w:rPr>
        <w:t>1</w:t>
      </w:r>
      <w:r w:rsidRPr="00767105">
        <w:rPr>
          <w:rFonts w:ascii="Times New Roman" w:hAnsi="Times New Roman" w:cs="Times New Roman"/>
          <w:b/>
          <w:sz w:val="24"/>
          <w:szCs w:val="24"/>
          <w:lang w:val="zh-CN"/>
        </w:rPr>
        <w:t xml:space="preserve">, </w:t>
      </w:r>
      <w:r w:rsidRPr="00767105">
        <w:rPr>
          <w:rFonts w:ascii="Times New Roman" w:hAnsi="Times New Roman" w:cs="Times New Roman"/>
          <w:b/>
          <w:sz w:val="24"/>
          <w:szCs w:val="24"/>
        </w:rPr>
        <w:t>Titik Nuryastuti</w:t>
      </w:r>
      <w:r w:rsidR="0076199B">
        <w:rPr>
          <w:rFonts w:ascii="Times New Roman" w:hAnsi="Times New Roman" w:cs="Times New Roman"/>
          <w:b/>
          <w:sz w:val="24"/>
          <w:szCs w:val="24"/>
          <w:vertAlign w:val="superscript"/>
        </w:rPr>
        <w:t>2</w:t>
      </w:r>
      <w:r w:rsidRPr="00767105">
        <w:rPr>
          <w:rFonts w:ascii="Times New Roman" w:hAnsi="Times New Roman" w:cs="Times New Roman"/>
          <w:b/>
          <w:sz w:val="24"/>
          <w:szCs w:val="24"/>
        </w:rPr>
        <w:t>,</w:t>
      </w:r>
      <w:r w:rsidRPr="00767105">
        <w:rPr>
          <w:rFonts w:ascii="Times New Roman" w:hAnsi="Times New Roman" w:cs="Times New Roman"/>
          <w:b/>
          <w:sz w:val="24"/>
          <w:szCs w:val="24"/>
          <w:lang w:val="zh-CN"/>
        </w:rPr>
        <w:t xml:space="preserve"> </w:t>
      </w:r>
      <w:r w:rsidRPr="00767105">
        <w:rPr>
          <w:rFonts w:ascii="Times New Roman" w:hAnsi="Times New Roman" w:cs="Times New Roman"/>
          <w:b/>
          <w:sz w:val="24"/>
          <w:szCs w:val="24"/>
        </w:rPr>
        <w:t>I</w:t>
      </w:r>
      <w:r w:rsidRPr="00767105">
        <w:rPr>
          <w:rFonts w:ascii="Times New Roman" w:hAnsi="Times New Roman" w:cs="Times New Roman"/>
          <w:b/>
          <w:sz w:val="24"/>
          <w:szCs w:val="24"/>
          <w:lang w:val="id-ID"/>
        </w:rPr>
        <w:t>ka Puspitasari</w:t>
      </w:r>
      <w:r w:rsidR="0076199B">
        <w:rPr>
          <w:rFonts w:ascii="Times New Roman" w:hAnsi="Times New Roman" w:cs="Times New Roman"/>
          <w:b/>
          <w:sz w:val="24"/>
          <w:szCs w:val="24"/>
          <w:vertAlign w:val="superscript"/>
          <w:lang w:val="en-ID"/>
        </w:rPr>
        <w:t>3</w:t>
      </w:r>
    </w:p>
    <w:p w14:paraId="40907752" w14:textId="77777777" w:rsidR="0076199B" w:rsidRPr="00141A5B" w:rsidRDefault="0076199B" w:rsidP="0076199B">
      <w:pPr>
        <w:pStyle w:val="ListParagraph"/>
        <w:numPr>
          <w:ilvl w:val="0"/>
          <w:numId w:val="5"/>
        </w:numPr>
        <w:spacing w:after="0" w:line="240" w:lineRule="auto"/>
        <w:jc w:val="both"/>
        <w:rPr>
          <w:rStyle w:val="Hyperlink"/>
          <w:rFonts w:ascii="Times New Roman" w:hAnsi="Times New Roman" w:cs="Times New Roman"/>
          <w:color w:val="000000"/>
          <w:szCs w:val="24"/>
          <w:lang w:val="en-ID"/>
        </w:rPr>
      </w:pPr>
      <w:bookmarkStart w:id="2" w:name="_Hlk21899352"/>
      <w:r w:rsidRPr="00141A5B">
        <w:rPr>
          <w:rStyle w:val="Hyperlink"/>
          <w:rFonts w:ascii="Times New Roman" w:hAnsi="Times New Roman" w:cs="Times New Roman"/>
          <w:color w:val="000000"/>
          <w:szCs w:val="24"/>
        </w:rPr>
        <w:t>Mahasisw</w:t>
      </w:r>
      <w:r w:rsidRPr="00141A5B">
        <w:rPr>
          <w:rStyle w:val="Hyperlink"/>
          <w:rFonts w:ascii="Times New Roman" w:hAnsi="Times New Roman" w:cs="Times New Roman"/>
          <w:color w:val="000000"/>
          <w:szCs w:val="24"/>
          <w:lang w:val="en-ID"/>
        </w:rPr>
        <w:t>a</w:t>
      </w:r>
      <w:r w:rsidRPr="00141A5B">
        <w:rPr>
          <w:rStyle w:val="Hyperlink"/>
          <w:rFonts w:ascii="Times New Roman" w:hAnsi="Times New Roman" w:cs="Times New Roman"/>
          <w:color w:val="000000"/>
          <w:szCs w:val="24"/>
        </w:rPr>
        <w:t xml:space="preserve"> Magister Farmasi Klinik, Fakultas </w:t>
      </w:r>
      <w:proofErr w:type="gramStart"/>
      <w:r w:rsidRPr="00141A5B">
        <w:rPr>
          <w:rStyle w:val="Hyperlink"/>
          <w:rFonts w:ascii="Times New Roman" w:hAnsi="Times New Roman" w:cs="Times New Roman"/>
          <w:color w:val="000000"/>
          <w:szCs w:val="24"/>
        </w:rPr>
        <w:t>Farmasi  Universitas</w:t>
      </w:r>
      <w:proofErr w:type="gramEnd"/>
      <w:r w:rsidRPr="00141A5B">
        <w:rPr>
          <w:rStyle w:val="Hyperlink"/>
          <w:rFonts w:ascii="Times New Roman" w:hAnsi="Times New Roman" w:cs="Times New Roman"/>
          <w:color w:val="000000"/>
          <w:szCs w:val="24"/>
        </w:rPr>
        <w:t xml:space="preserve"> Gadjah Mada, Yogyakarta, Indonesia</w:t>
      </w:r>
    </w:p>
    <w:p w14:paraId="32D28A1F" w14:textId="7DA32088" w:rsidR="0076199B" w:rsidRPr="003B01CD" w:rsidRDefault="003B01CD" w:rsidP="00675693">
      <w:pPr>
        <w:pStyle w:val="ListParagraph"/>
        <w:numPr>
          <w:ilvl w:val="0"/>
          <w:numId w:val="5"/>
        </w:numPr>
        <w:spacing w:after="0" w:line="240" w:lineRule="auto"/>
        <w:jc w:val="both"/>
        <w:rPr>
          <w:rStyle w:val="Hyperlink"/>
          <w:rFonts w:ascii="Times New Roman" w:hAnsi="Times New Roman" w:cs="Times New Roman"/>
          <w:color w:val="auto"/>
          <w:szCs w:val="24"/>
          <w:lang w:val="en-ID"/>
        </w:rPr>
      </w:pPr>
      <w:r w:rsidRPr="003B01CD">
        <w:rPr>
          <w:rStyle w:val="Hyperlink"/>
          <w:rFonts w:ascii="Times New Roman" w:hAnsi="Times New Roman" w:cs="Times New Roman"/>
          <w:color w:val="auto"/>
          <w:szCs w:val="24"/>
          <w:lang w:val="en-ID"/>
        </w:rPr>
        <w:t>Departemen Mikrobiologi, Fakultas Kedokteran, Kesehatan Masyarakat dan Keperawatan, Universitas Gadjah Mada, Yogyakarta Indonesia</w:t>
      </w:r>
    </w:p>
    <w:p w14:paraId="013E4E4C" w14:textId="4E4E745A" w:rsidR="0076199B" w:rsidRPr="00141A5B" w:rsidRDefault="0076199B" w:rsidP="0076199B">
      <w:pPr>
        <w:pStyle w:val="ListParagraph"/>
        <w:numPr>
          <w:ilvl w:val="0"/>
          <w:numId w:val="5"/>
        </w:numPr>
        <w:spacing w:after="0" w:line="240" w:lineRule="auto"/>
        <w:jc w:val="both"/>
        <w:rPr>
          <w:rStyle w:val="Hyperlink"/>
          <w:rFonts w:ascii="Times New Roman" w:hAnsi="Times New Roman" w:cs="Times New Roman"/>
          <w:color w:val="000000"/>
          <w:szCs w:val="24"/>
          <w:lang w:val="en-ID"/>
        </w:rPr>
      </w:pPr>
      <w:r w:rsidRPr="00141A5B">
        <w:rPr>
          <w:rStyle w:val="Hyperlink"/>
          <w:rFonts w:ascii="Times New Roman" w:hAnsi="Times New Roman" w:cs="Times New Roman"/>
          <w:color w:val="000000"/>
          <w:szCs w:val="24"/>
          <w:lang w:val="en-ID"/>
        </w:rPr>
        <w:t>Departemen Farmakologi dan Farmasi Klinik</w:t>
      </w:r>
      <w:r w:rsidRPr="00141A5B">
        <w:rPr>
          <w:rStyle w:val="Hyperlink"/>
          <w:rFonts w:ascii="Times New Roman" w:hAnsi="Times New Roman" w:cs="Times New Roman"/>
          <w:color w:val="000000"/>
          <w:szCs w:val="24"/>
        </w:rPr>
        <w:t xml:space="preserve">: </w:t>
      </w:r>
      <w:r w:rsidRPr="00141A5B">
        <w:rPr>
          <w:rStyle w:val="Hyperlink"/>
          <w:rFonts w:ascii="Times New Roman" w:hAnsi="Times New Roman" w:cs="Times New Roman"/>
          <w:color w:val="000000"/>
          <w:szCs w:val="24"/>
          <w:lang w:val="en-ID"/>
        </w:rPr>
        <w:t>Fakultas Farmasi</w:t>
      </w:r>
      <w:r w:rsidRPr="00141A5B">
        <w:rPr>
          <w:rStyle w:val="Hyperlink"/>
          <w:rFonts w:ascii="Times New Roman" w:hAnsi="Times New Roman" w:cs="Times New Roman"/>
          <w:color w:val="000000"/>
          <w:szCs w:val="24"/>
        </w:rPr>
        <w:t>, Universitas Gadjah Mada, Yogyakarta, Indonesia</w:t>
      </w:r>
    </w:p>
    <w:bookmarkEnd w:id="2"/>
    <w:p w14:paraId="722F5365" w14:textId="631CD260" w:rsidR="004375C4" w:rsidRPr="00767105" w:rsidRDefault="004375C4" w:rsidP="004375C4">
      <w:pPr>
        <w:rPr>
          <w:rFonts w:ascii="Times New Roman" w:hAnsi="Times New Roman" w:cs="Times New Roman"/>
          <w:sz w:val="24"/>
          <w:szCs w:val="24"/>
        </w:rPr>
      </w:pPr>
      <w:r w:rsidRPr="00767105">
        <w:rPr>
          <w:rFonts w:ascii="Times New Roman" w:hAnsi="Times New Roman" w:cs="Times New Roman"/>
          <w:sz w:val="24"/>
          <w:szCs w:val="24"/>
        </w:rPr>
        <w:t xml:space="preserve">Corresponding author: </w:t>
      </w:r>
      <w:r w:rsidRPr="00767105">
        <w:rPr>
          <w:rFonts w:ascii="Times New Roman" w:hAnsi="Times New Roman" w:cs="Times New Roman"/>
          <w:sz w:val="24"/>
          <w:szCs w:val="24"/>
          <w:lang w:val="id-ID"/>
        </w:rPr>
        <w:t>Ika Puspita Sari</w:t>
      </w:r>
      <w:r w:rsidRPr="00767105">
        <w:rPr>
          <w:rFonts w:ascii="Times New Roman" w:hAnsi="Times New Roman" w:cs="Times New Roman"/>
          <w:sz w:val="24"/>
          <w:szCs w:val="24"/>
        </w:rPr>
        <w:t xml:space="preserve">: Email: </w:t>
      </w:r>
      <w:hyperlink r:id="rId5" w:history="1">
        <w:r w:rsidRPr="00767105">
          <w:rPr>
            <w:rStyle w:val="Hyperlink"/>
            <w:rFonts w:ascii="Times New Roman" w:hAnsi="Times New Roman" w:cs="Times New Roman"/>
            <w:sz w:val="24"/>
            <w:szCs w:val="24"/>
            <w:lang w:val="id-ID"/>
          </w:rPr>
          <w:t>ika.puspitasari</w:t>
        </w:r>
        <w:r w:rsidRPr="00767105">
          <w:rPr>
            <w:rStyle w:val="Hyperlink"/>
            <w:rFonts w:ascii="Times New Roman" w:hAnsi="Times New Roman" w:cs="Times New Roman"/>
            <w:sz w:val="24"/>
            <w:szCs w:val="24"/>
          </w:rPr>
          <w:t>@</w:t>
        </w:r>
        <w:r w:rsidRPr="00767105">
          <w:rPr>
            <w:rStyle w:val="Hyperlink"/>
            <w:rFonts w:ascii="Times New Roman" w:hAnsi="Times New Roman" w:cs="Times New Roman"/>
            <w:sz w:val="24"/>
            <w:szCs w:val="24"/>
            <w:lang w:val="id-ID"/>
          </w:rPr>
          <w:t>gmail.</w:t>
        </w:r>
        <w:r w:rsidRPr="00767105">
          <w:rPr>
            <w:rStyle w:val="Hyperlink"/>
            <w:rFonts w:ascii="Times New Roman" w:hAnsi="Times New Roman" w:cs="Times New Roman"/>
            <w:sz w:val="24"/>
            <w:szCs w:val="24"/>
          </w:rPr>
          <w:t>com</w:t>
        </w:r>
      </w:hyperlink>
      <w:r w:rsidRPr="00767105">
        <w:rPr>
          <w:rFonts w:ascii="Times New Roman" w:hAnsi="Times New Roman" w:cs="Times New Roman"/>
          <w:sz w:val="24"/>
          <w:szCs w:val="24"/>
        </w:rPr>
        <w:t xml:space="preserve"> </w:t>
      </w:r>
    </w:p>
    <w:p w14:paraId="63BF95FF" w14:textId="47EA51C5" w:rsidR="004375C4" w:rsidRPr="00767105" w:rsidRDefault="004375C4" w:rsidP="004375C4">
      <w:pPr>
        <w:rPr>
          <w:rFonts w:ascii="Times New Roman" w:hAnsi="Times New Roman" w:cs="Times New Roman"/>
          <w:sz w:val="24"/>
          <w:szCs w:val="24"/>
        </w:rPr>
      </w:pPr>
    </w:p>
    <w:p w14:paraId="034FCF42" w14:textId="4269FF47" w:rsidR="004375C4" w:rsidRPr="0076199B" w:rsidRDefault="004375C4" w:rsidP="0076199B">
      <w:pPr>
        <w:spacing w:after="0"/>
        <w:rPr>
          <w:rFonts w:ascii="Times New Roman" w:hAnsi="Times New Roman" w:cs="Times New Roman"/>
          <w:b/>
          <w:sz w:val="24"/>
          <w:szCs w:val="24"/>
        </w:rPr>
      </w:pPr>
      <w:r w:rsidRPr="0076199B">
        <w:rPr>
          <w:rFonts w:ascii="Times New Roman" w:hAnsi="Times New Roman" w:cs="Times New Roman"/>
          <w:b/>
          <w:sz w:val="24"/>
          <w:szCs w:val="24"/>
        </w:rPr>
        <w:t>ABSTRAK</w:t>
      </w:r>
    </w:p>
    <w:p w14:paraId="384F784A" w14:textId="00887A9D" w:rsidR="004375C4" w:rsidRDefault="00EE29F3" w:rsidP="009807D3">
      <w:pPr>
        <w:jc w:val="both"/>
        <w:rPr>
          <w:rFonts w:ascii="Times New Roman" w:hAnsi="Times New Roman" w:cs="Times New Roman"/>
          <w:sz w:val="24"/>
          <w:szCs w:val="24"/>
        </w:rPr>
      </w:pPr>
      <w:bookmarkStart w:id="3" w:name="_Hlk21897329"/>
      <w:r>
        <w:rPr>
          <w:rFonts w:ascii="Times New Roman" w:hAnsi="Times New Roman" w:cs="Times New Roman"/>
          <w:sz w:val="24"/>
          <w:szCs w:val="24"/>
        </w:rPr>
        <w:t>Infeksi saluran pernafasan akut</w:t>
      </w:r>
      <w:r w:rsidR="004375C4">
        <w:rPr>
          <w:rFonts w:ascii="Times New Roman" w:hAnsi="Times New Roman" w:cs="Times New Roman"/>
          <w:sz w:val="24"/>
          <w:szCs w:val="24"/>
        </w:rPr>
        <w:t xml:space="preserve"> merupakan salah satu penyebab utama kunjungan pasien di sarana kesehatan </w:t>
      </w:r>
      <w:r w:rsidR="00F61FD1">
        <w:rPr>
          <w:rFonts w:ascii="Times New Roman" w:hAnsi="Times New Roman" w:cs="Times New Roman"/>
          <w:sz w:val="24"/>
          <w:szCs w:val="24"/>
        </w:rPr>
        <w:t>baik</w:t>
      </w:r>
      <w:r w:rsidR="004375C4">
        <w:rPr>
          <w:rFonts w:ascii="Times New Roman" w:hAnsi="Times New Roman" w:cs="Times New Roman"/>
          <w:sz w:val="24"/>
          <w:szCs w:val="24"/>
        </w:rPr>
        <w:t xml:space="preserve"> di Puskesmas maupun di rumah sakit. </w:t>
      </w:r>
      <w:r w:rsidR="00EF3959">
        <w:rPr>
          <w:rFonts w:ascii="Times New Roman" w:hAnsi="Times New Roman" w:cs="Times New Roman"/>
          <w:color w:val="000000"/>
          <w:sz w:val="24"/>
          <w:szCs w:val="24"/>
        </w:rPr>
        <w:t>Telah banyak penelitian mengenai kejadian resistensi antibiotik terhadap mikroba di rumah sakit beserta gambaran antibiogramnya, namun resistensi dalam pengobatan antibiotik di komunitas tepatnya di puskesmas belum pernah dipetakan</w:t>
      </w:r>
      <w:r w:rsidR="004375C4">
        <w:rPr>
          <w:rFonts w:ascii="Times New Roman" w:hAnsi="Times New Roman" w:cs="Times New Roman"/>
          <w:sz w:val="24"/>
          <w:szCs w:val="24"/>
        </w:rPr>
        <w:t xml:space="preserve">. Tujuan penelitian ini adalah untuk </w:t>
      </w:r>
      <w:r w:rsidR="004375C4">
        <w:rPr>
          <w:rFonts w:ascii="Times New Roman" w:eastAsia="Times New Roman" w:hAnsi="Times New Roman" w:cs="Times New Roman"/>
          <w:spacing w:val="3"/>
          <w:sz w:val="24"/>
          <w:szCs w:val="24"/>
        </w:rPr>
        <w:t xml:space="preserve">mengetahui </w:t>
      </w:r>
      <w:r w:rsidR="00BF3CC7">
        <w:rPr>
          <w:rFonts w:ascii="Times New Roman" w:eastAsia="Times New Roman" w:hAnsi="Times New Roman" w:cs="Times New Roman"/>
          <w:spacing w:val="3"/>
          <w:sz w:val="24"/>
          <w:szCs w:val="24"/>
        </w:rPr>
        <w:t>gambaran antibiogram bakteri penyebab ISPA di Puskesmas Jetis Yogyakarta, mengetahui kesesuaian</w:t>
      </w:r>
      <w:r w:rsidR="00442214">
        <w:rPr>
          <w:rFonts w:ascii="Times New Roman" w:eastAsia="Times New Roman" w:hAnsi="Times New Roman" w:cs="Times New Roman"/>
          <w:spacing w:val="3"/>
          <w:sz w:val="24"/>
          <w:szCs w:val="24"/>
        </w:rPr>
        <w:t xml:space="preserve"> </w:t>
      </w:r>
      <w:r w:rsidR="00442214" w:rsidRPr="00442214">
        <w:rPr>
          <w:rFonts w:ascii="Times New Roman" w:eastAsia="Times New Roman" w:hAnsi="Times New Roman" w:cs="Times New Roman"/>
          <w:spacing w:val="3"/>
          <w:sz w:val="24"/>
          <w:szCs w:val="24"/>
        </w:rPr>
        <w:t>penggunaan antibiotik empiris dengan pedoman terapi</w:t>
      </w:r>
      <w:r w:rsidR="00BF3CC7">
        <w:rPr>
          <w:rFonts w:ascii="Times New Roman" w:eastAsia="Times New Roman" w:hAnsi="Times New Roman" w:cs="Times New Roman"/>
          <w:spacing w:val="3"/>
          <w:sz w:val="24"/>
          <w:szCs w:val="24"/>
        </w:rPr>
        <w:t xml:space="preserve"> serta mengetahui hubungan </w:t>
      </w:r>
      <w:r w:rsidR="004375C4">
        <w:rPr>
          <w:rFonts w:ascii="Times New Roman" w:eastAsia="Times New Roman" w:hAnsi="Times New Roman" w:cs="Times New Roman"/>
          <w:spacing w:val="3"/>
          <w:sz w:val="24"/>
          <w:szCs w:val="24"/>
        </w:rPr>
        <w:t xml:space="preserve">kesesuaian antibiotik empiris terhadap </w:t>
      </w:r>
      <w:r w:rsidR="004375C4">
        <w:rPr>
          <w:rFonts w:ascii="Times New Roman" w:eastAsia="Times New Roman" w:hAnsi="Times New Roman" w:cs="Times New Roman"/>
          <w:i/>
          <w:spacing w:val="3"/>
          <w:sz w:val="24"/>
          <w:szCs w:val="24"/>
        </w:rPr>
        <w:t>outcome</w:t>
      </w:r>
      <w:r w:rsidR="004375C4">
        <w:rPr>
          <w:rFonts w:ascii="Times New Roman" w:eastAsia="Times New Roman" w:hAnsi="Times New Roman" w:cs="Times New Roman"/>
          <w:spacing w:val="3"/>
          <w:sz w:val="24"/>
          <w:szCs w:val="24"/>
        </w:rPr>
        <w:t xml:space="preserve"> klinik.</w:t>
      </w:r>
      <w:r w:rsidR="004375C4">
        <w:rPr>
          <w:rFonts w:ascii="Times New Roman" w:hAnsi="Times New Roman" w:cs="Times New Roman"/>
          <w:sz w:val="24"/>
          <w:szCs w:val="24"/>
        </w:rPr>
        <w:t xml:space="preserve"> Penelitian ini merupakan penelitian observasional yang dilakukan dengan rancangan studi deskriptif-analitik dengan desain </w:t>
      </w:r>
      <w:r w:rsidR="004375C4">
        <w:rPr>
          <w:rFonts w:ascii="Times New Roman" w:hAnsi="Times New Roman" w:cs="Times New Roman"/>
          <w:i/>
          <w:sz w:val="24"/>
          <w:szCs w:val="24"/>
        </w:rPr>
        <w:t>cohort</w:t>
      </w:r>
      <w:r w:rsidR="004375C4">
        <w:rPr>
          <w:rFonts w:ascii="Times New Roman" w:hAnsi="Times New Roman" w:cs="Times New Roman"/>
          <w:sz w:val="24"/>
          <w:szCs w:val="24"/>
        </w:rPr>
        <w:t xml:space="preserve"> melalui penelusuran data </w:t>
      </w:r>
      <w:r w:rsidR="004375C4" w:rsidRPr="0076199B">
        <w:rPr>
          <w:rFonts w:ascii="Times New Roman" w:hAnsi="Times New Roman" w:cs="Times New Roman"/>
          <w:sz w:val="24"/>
          <w:szCs w:val="24"/>
        </w:rPr>
        <w:t xml:space="preserve">secara prospektif pada pasien ISPA di Puskesmas </w:t>
      </w:r>
      <w:r w:rsidR="004375C4" w:rsidRPr="0076199B">
        <w:rPr>
          <w:rFonts w:ascii="Times New Roman" w:eastAsia="Times New Roman" w:hAnsi="Times New Roman" w:cs="Times New Roman"/>
          <w:spacing w:val="3"/>
          <w:sz w:val="24"/>
          <w:szCs w:val="24"/>
        </w:rPr>
        <w:t>Jetis</w:t>
      </w:r>
      <w:r w:rsidR="004375C4" w:rsidRPr="0076199B">
        <w:rPr>
          <w:rFonts w:ascii="Times New Roman" w:hAnsi="Times New Roman" w:cs="Times New Roman"/>
          <w:sz w:val="24"/>
          <w:szCs w:val="24"/>
        </w:rPr>
        <w:t xml:space="preserve"> Yogyakarta pada bulan </w:t>
      </w:r>
      <w:r w:rsidR="00F02824" w:rsidRPr="0076199B">
        <w:rPr>
          <w:rFonts w:ascii="Times New Roman" w:hAnsi="Times New Roman" w:cs="Times New Roman"/>
          <w:sz w:val="24"/>
          <w:szCs w:val="24"/>
        </w:rPr>
        <w:t>April</w:t>
      </w:r>
      <w:r w:rsidR="004375C4" w:rsidRPr="0076199B">
        <w:rPr>
          <w:rFonts w:ascii="Times New Roman" w:hAnsi="Times New Roman" w:cs="Times New Roman"/>
          <w:sz w:val="24"/>
          <w:szCs w:val="24"/>
        </w:rPr>
        <w:t>-</w:t>
      </w:r>
      <w:r w:rsidR="00F02824" w:rsidRPr="0076199B">
        <w:rPr>
          <w:rFonts w:ascii="Times New Roman" w:hAnsi="Times New Roman" w:cs="Times New Roman"/>
          <w:sz w:val="24"/>
          <w:szCs w:val="24"/>
        </w:rPr>
        <w:t>Agustus</w:t>
      </w:r>
      <w:r w:rsidR="004375C4" w:rsidRPr="0076199B">
        <w:rPr>
          <w:rFonts w:ascii="Times New Roman" w:hAnsi="Times New Roman" w:cs="Times New Roman"/>
          <w:sz w:val="24"/>
          <w:szCs w:val="24"/>
        </w:rPr>
        <w:t xml:space="preserve"> 2019.</w:t>
      </w:r>
      <w:r w:rsidR="00BF3CC7" w:rsidRPr="0076199B">
        <w:rPr>
          <w:rFonts w:ascii="Times New Roman" w:hAnsi="Times New Roman" w:cs="Times New Roman"/>
          <w:sz w:val="24"/>
          <w:szCs w:val="24"/>
        </w:rPr>
        <w:t xml:space="preserve"> Sebanyak 44 pasien yang didiagnosa ISPA di puskesmas Jetis Yogyakarta selama periode bulan April-Agustus 2019. Gambarkan mengenai profil antibiogram pasien ISPA di puskesmas Jetis Yogyakarta, yaitu pola bakteri Gram negatif yang terbesar (</w:t>
      </w:r>
      <w:r w:rsidR="00D401E3" w:rsidRPr="0076199B">
        <w:rPr>
          <w:rFonts w:ascii="Times New Roman" w:hAnsi="Times New Roman" w:cs="Times New Roman"/>
          <w:sz w:val="24"/>
          <w:szCs w:val="24"/>
        </w:rPr>
        <w:t>50,8</w:t>
      </w:r>
      <w:r w:rsidR="00BF3CC7" w:rsidRPr="0076199B">
        <w:rPr>
          <w:rFonts w:ascii="Times New Roman" w:hAnsi="Times New Roman" w:cs="Times New Roman"/>
          <w:sz w:val="24"/>
          <w:szCs w:val="24"/>
        </w:rPr>
        <w:t>%)</w:t>
      </w:r>
      <w:r w:rsidR="00442214" w:rsidRPr="0076199B">
        <w:rPr>
          <w:rFonts w:ascii="Times New Roman" w:hAnsi="Times New Roman" w:cs="Times New Roman"/>
          <w:sz w:val="24"/>
          <w:szCs w:val="24"/>
        </w:rPr>
        <w:t xml:space="preserve"> dan</w:t>
      </w:r>
      <w:r w:rsidR="00BF3CC7" w:rsidRPr="0076199B">
        <w:rPr>
          <w:rFonts w:ascii="Times New Roman" w:hAnsi="Times New Roman" w:cs="Times New Roman"/>
          <w:sz w:val="24"/>
          <w:szCs w:val="24"/>
        </w:rPr>
        <w:t xml:space="preserve"> bakteri Gram positif </w:t>
      </w:r>
      <w:r w:rsidR="00BF3CC7" w:rsidRPr="00BF3CC7">
        <w:rPr>
          <w:rFonts w:ascii="Times New Roman" w:hAnsi="Times New Roman" w:cs="Times New Roman"/>
          <w:sz w:val="24"/>
          <w:szCs w:val="24"/>
        </w:rPr>
        <w:t xml:space="preserve">sebanyak </w:t>
      </w:r>
      <w:r w:rsidR="00D401E3">
        <w:rPr>
          <w:rFonts w:ascii="Times New Roman" w:hAnsi="Times New Roman" w:cs="Times New Roman"/>
          <w:sz w:val="24"/>
          <w:szCs w:val="24"/>
        </w:rPr>
        <w:t>27,2</w:t>
      </w:r>
      <w:r w:rsidR="00BF3CC7" w:rsidRPr="00BF3CC7">
        <w:rPr>
          <w:rFonts w:ascii="Times New Roman" w:hAnsi="Times New Roman" w:cs="Times New Roman"/>
          <w:sz w:val="24"/>
          <w:szCs w:val="24"/>
        </w:rPr>
        <w:t>%</w:t>
      </w:r>
      <w:r w:rsidR="00BF3CC7">
        <w:rPr>
          <w:rFonts w:ascii="Times New Roman" w:hAnsi="Times New Roman" w:cs="Times New Roman"/>
          <w:sz w:val="24"/>
          <w:szCs w:val="24"/>
        </w:rPr>
        <w:t xml:space="preserve">. </w:t>
      </w:r>
      <w:r w:rsidR="00BF3CC7" w:rsidRPr="00BF3CC7">
        <w:rPr>
          <w:rFonts w:ascii="Times New Roman" w:hAnsi="Times New Roman" w:cs="Times New Roman"/>
          <w:sz w:val="24"/>
          <w:szCs w:val="24"/>
        </w:rPr>
        <w:t>Berdasarkan evaluasi kesesuaian penggunaan antibiotik empirik terhadap pedoman, diperoleh 4</w:t>
      </w:r>
      <w:r w:rsidR="00165B1B">
        <w:rPr>
          <w:rFonts w:ascii="Times New Roman" w:hAnsi="Times New Roman" w:cs="Times New Roman"/>
          <w:sz w:val="24"/>
          <w:szCs w:val="24"/>
        </w:rPr>
        <w:t>0</w:t>
      </w:r>
      <w:r w:rsidR="00BF3CC7" w:rsidRPr="00BF3CC7">
        <w:rPr>
          <w:rFonts w:ascii="Times New Roman" w:hAnsi="Times New Roman" w:cs="Times New Roman"/>
          <w:sz w:val="24"/>
          <w:szCs w:val="24"/>
        </w:rPr>
        <w:t xml:space="preserve"> pasien</w:t>
      </w:r>
      <w:r w:rsidR="00442214">
        <w:rPr>
          <w:rFonts w:ascii="Times New Roman" w:hAnsi="Times New Roman" w:cs="Times New Roman"/>
          <w:sz w:val="24"/>
          <w:szCs w:val="24"/>
        </w:rPr>
        <w:t xml:space="preserve"> (93%)</w:t>
      </w:r>
      <w:r w:rsidR="00BF3CC7" w:rsidRPr="00BF3CC7">
        <w:rPr>
          <w:rFonts w:ascii="Times New Roman" w:hAnsi="Times New Roman" w:cs="Times New Roman"/>
          <w:sz w:val="24"/>
          <w:szCs w:val="24"/>
        </w:rPr>
        <w:t xml:space="preserve"> yang sesuai terapinya dengan pedoman dan sebanyak 3 pasien</w:t>
      </w:r>
      <w:r w:rsidR="00442214">
        <w:rPr>
          <w:rFonts w:ascii="Times New Roman" w:hAnsi="Times New Roman" w:cs="Times New Roman"/>
          <w:sz w:val="24"/>
          <w:szCs w:val="24"/>
        </w:rPr>
        <w:t xml:space="preserve"> (</w:t>
      </w:r>
      <w:r w:rsidR="00165B1B">
        <w:rPr>
          <w:rFonts w:ascii="Times New Roman" w:hAnsi="Times New Roman" w:cs="Times New Roman"/>
          <w:sz w:val="24"/>
          <w:szCs w:val="24"/>
        </w:rPr>
        <w:t>7</w:t>
      </w:r>
      <w:r w:rsidR="00442214">
        <w:rPr>
          <w:rFonts w:ascii="Times New Roman" w:hAnsi="Times New Roman" w:cs="Times New Roman"/>
          <w:sz w:val="24"/>
          <w:szCs w:val="24"/>
        </w:rPr>
        <w:t>%)</w:t>
      </w:r>
      <w:r w:rsidR="00BF3CC7" w:rsidRPr="00BF3CC7">
        <w:rPr>
          <w:rFonts w:ascii="Times New Roman" w:hAnsi="Times New Roman" w:cs="Times New Roman"/>
          <w:sz w:val="24"/>
          <w:szCs w:val="24"/>
        </w:rPr>
        <w:t xml:space="preserve"> yang tidak sesuai dengan pedoman.</w:t>
      </w:r>
      <w:r w:rsidR="00442214">
        <w:rPr>
          <w:rFonts w:ascii="Times New Roman" w:hAnsi="Times New Roman" w:cs="Times New Roman"/>
          <w:sz w:val="24"/>
          <w:szCs w:val="24"/>
        </w:rPr>
        <w:t xml:space="preserve"> Berdasarkan uji</w:t>
      </w:r>
      <w:r w:rsidR="003D3765">
        <w:rPr>
          <w:rFonts w:ascii="Times New Roman" w:hAnsi="Times New Roman" w:cs="Times New Roman"/>
          <w:sz w:val="24"/>
          <w:szCs w:val="24"/>
        </w:rPr>
        <w:t xml:space="preserve"> </w:t>
      </w:r>
      <w:r w:rsidR="00165B1B">
        <w:rPr>
          <w:rFonts w:ascii="Times New Roman" w:hAnsi="Times New Roman" w:cs="Times New Roman"/>
          <w:i/>
          <w:szCs w:val="24"/>
        </w:rPr>
        <w:t>L</w:t>
      </w:r>
      <w:r w:rsidR="00165B1B" w:rsidRPr="00165B1B">
        <w:rPr>
          <w:rFonts w:ascii="Times New Roman" w:hAnsi="Times New Roman" w:cs="Times New Roman"/>
          <w:i/>
          <w:szCs w:val="24"/>
        </w:rPr>
        <w:t>ikelihood ratio</w:t>
      </w:r>
      <w:r w:rsidR="00165B1B">
        <w:rPr>
          <w:rFonts w:ascii="Times New Roman" w:hAnsi="Times New Roman" w:cs="Times New Roman"/>
          <w:sz w:val="24"/>
          <w:szCs w:val="24"/>
        </w:rPr>
        <w:t xml:space="preserve"> </w:t>
      </w:r>
      <w:r w:rsidR="003D3765">
        <w:rPr>
          <w:rFonts w:ascii="Times New Roman" w:hAnsi="Times New Roman" w:cs="Times New Roman"/>
          <w:sz w:val="24"/>
          <w:szCs w:val="24"/>
        </w:rPr>
        <w:t xml:space="preserve">menunjukkan tidak </w:t>
      </w:r>
      <w:r w:rsidR="00BF3CC7" w:rsidRPr="00BF3CC7">
        <w:rPr>
          <w:rFonts w:ascii="Times New Roman" w:hAnsi="Times New Roman" w:cs="Times New Roman"/>
          <w:sz w:val="24"/>
          <w:szCs w:val="24"/>
        </w:rPr>
        <w:t xml:space="preserve">terdapat hubungan yang signifikan antara kesesuaian penggunaan antibiotik empirik dengan </w:t>
      </w:r>
      <w:r w:rsidR="00BF3CC7" w:rsidRPr="003D3765">
        <w:rPr>
          <w:rFonts w:ascii="Times New Roman" w:hAnsi="Times New Roman" w:cs="Times New Roman"/>
          <w:i/>
          <w:sz w:val="24"/>
          <w:szCs w:val="24"/>
        </w:rPr>
        <w:t>outcome</w:t>
      </w:r>
      <w:r w:rsidR="00BF3CC7" w:rsidRPr="00BF3CC7">
        <w:rPr>
          <w:rFonts w:ascii="Times New Roman" w:hAnsi="Times New Roman" w:cs="Times New Roman"/>
          <w:sz w:val="24"/>
          <w:szCs w:val="24"/>
        </w:rPr>
        <w:t xml:space="preserve"> klinik pada pasien ISPA </w:t>
      </w:r>
      <w:r w:rsidR="003D3765">
        <w:rPr>
          <w:rFonts w:ascii="Times New Roman" w:hAnsi="Times New Roman" w:cs="Times New Roman"/>
          <w:sz w:val="24"/>
          <w:szCs w:val="24"/>
        </w:rPr>
        <w:t>dengan nilai p=0,</w:t>
      </w:r>
      <w:r w:rsidR="00165B1B">
        <w:rPr>
          <w:rFonts w:ascii="Times New Roman" w:hAnsi="Times New Roman" w:cs="Times New Roman"/>
          <w:sz w:val="24"/>
          <w:szCs w:val="24"/>
        </w:rPr>
        <w:t>152</w:t>
      </w:r>
      <w:r w:rsidR="00BF3CC7" w:rsidRPr="00BF3CC7">
        <w:rPr>
          <w:rFonts w:ascii="Times New Roman" w:hAnsi="Times New Roman" w:cs="Times New Roman"/>
          <w:sz w:val="24"/>
          <w:szCs w:val="24"/>
        </w:rPr>
        <w:t>.</w:t>
      </w:r>
      <w:bookmarkEnd w:id="3"/>
    </w:p>
    <w:p w14:paraId="777326C6" w14:textId="4920C4E8" w:rsidR="004375C4" w:rsidRDefault="004375C4" w:rsidP="004375C4">
      <w:pPr>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xml:space="preserve">: </w:t>
      </w:r>
      <w:bookmarkStart w:id="4" w:name="_Hlk21897536"/>
      <w:r w:rsidR="0076199B">
        <w:rPr>
          <w:rFonts w:ascii="Times New Roman" w:hAnsi="Times New Roman" w:cs="Times New Roman"/>
          <w:sz w:val="24"/>
          <w:szCs w:val="24"/>
        </w:rPr>
        <w:t xml:space="preserve">Antibiogram, </w:t>
      </w:r>
      <w:r>
        <w:rPr>
          <w:rFonts w:ascii="Times New Roman" w:hAnsi="Times New Roman" w:cs="Times New Roman"/>
          <w:sz w:val="24"/>
          <w:szCs w:val="24"/>
        </w:rPr>
        <w:t xml:space="preserve">Antibiotik Empiris, </w:t>
      </w:r>
      <w:r w:rsidR="0076199B">
        <w:rPr>
          <w:rFonts w:ascii="Times New Roman" w:hAnsi="Times New Roman" w:cs="Times New Roman"/>
          <w:sz w:val="24"/>
          <w:szCs w:val="24"/>
        </w:rPr>
        <w:t xml:space="preserve">ISPA, </w:t>
      </w:r>
      <w:r>
        <w:rPr>
          <w:rFonts w:ascii="Times New Roman" w:hAnsi="Times New Roman" w:cs="Times New Roman"/>
          <w:i/>
          <w:sz w:val="24"/>
          <w:szCs w:val="24"/>
        </w:rPr>
        <w:t>Outcome</w:t>
      </w:r>
      <w:r w:rsidR="0076199B">
        <w:rPr>
          <w:rFonts w:ascii="Times New Roman" w:hAnsi="Times New Roman" w:cs="Times New Roman"/>
          <w:sz w:val="24"/>
          <w:szCs w:val="24"/>
        </w:rPr>
        <w:t xml:space="preserve"> Klinik</w:t>
      </w:r>
      <w:bookmarkEnd w:id="4"/>
      <w:r w:rsidR="0076199B">
        <w:rPr>
          <w:rFonts w:ascii="Times New Roman" w:hAnsi="Times New Roman" w:cs="Times New Roman"/>
          <w:sz w:val="24"/>
          <w:szCs w:val="24"/>
        </w:rPr>
        <w:t>.</w:t>
      </w:r>
    </w:p>
    <w:p w14:paraId="470099E3" w14:textId="77777777" w:rsidR="008B250E" w:rsidRDefault="008B250E" w:rsidP="008B250E">
      <w:pPr>
        <w:jc w:val="center"/>
        <w:rPr>
          <w:rFonts w:ascii="Times New Roman" w:hAnsi="Times New Roman" w:cs="Times New Roman"/>
          <w:b/>
          <w:i/>
          <w:sz w:val="24"/>
          <w:szCs w:val="24"/>
        </w:rPr>
        <w:sectPr w:rsidR="008B250E" w:rsidSect="0076199B">
          <w:pgSz w:w="11907" w:h="16839" w:code="9"/>
          <w:pgMar w:top="1440" w:right="1440" w:bottom="1440" w:left="1440" w:header="720" w:footer="720" w:gutter="0"/>
          <w:cols w:space="720"/>
          <w:docGrid w:linePitch="360"/>
        </w:sectPr>
      </w:pPr>
    </w:p>
    <w:p w14:paraId="58032D71" w14:textId="6A9DE900" w:rsidR="008B250E" w:rsidRPr="008B250E" w:rsidRDefault="008B250E" w:rsidP="0076199B">
      <w:pPr>
        <w:spacing w:after="0"/>
        <w:jc w:val="both"/>
        <w:rPr>
          <w:rFonts w:ascii="Times New Roman" w:hAnsi="Times New Roman" w:cs="Times New Roman"/>
          <w:b/>
          <w:i/>
          <w:sz w:val="24"/>
          <w:szCs w:val="24"/>
        </w:rPr>
      </w:pPr>
      <w:r w:rsidRPr="008B250E">
        <w:rPr>
          <w:rFonts w:ascii="Times New Roman" w:hAnsi="Times New Roman" w:cs="Times New Roman"/>
          <w:b/>
          <w:i/>
          <w:sz w:val="24"/>
          <w:szCs w:val="24"/>
        </w:rPr>
        <w:lastRenderedPageBreak/>
        <w:t>ABSTRACT</w:t>
      </w:r>
    </w:p>
    <w:p w14:paraId="3048612C" w14:textId="10BE8049" w:rsidR="008B250E" w:rsidRPr="008B250E" w:rsidRDefault="001911F9" w:rsidP="00583C9F">
      <w:pPr>
        <w:jc w:val="both"/>
        <w:rPr>
          <w:rFonts w:ascii="Times New Roman" w:hAnsi="Times New Roman" w:cs="Times New Roman"/>
          <w:sz w:val="24"/>
          <w:szCs w:val="24"/>
        </w:rPr>
      </w:pPr>
      <w:bookmarkStart w:id="5" w:name="_Hlk21897457"/>
      <w:r>
        <w:rPr>
          <w:rFonts w:ascii="Times New Roman" w:hAnsi="Times New Roman" w:cs="Times New Roman"/>
          <w:sz w:val="24"/>
          <w:szCs w:val="24"/>
        </w:rPr>
        <w:t>Acute Respiratory Infections (AR</w:t>
      </w:r>
      <w:r w:rsidR="008B250E" w:rsidRPr="008B250E">
        <w:rPr>
          <w:rFonts w:ascii="Times New Roman" w:hAnsi="Times New Roman" w:cs="Times New Roman"/>
          <w:sz w:val="24"/>
          <w:szCs w:val="24"/>
        </w:rPr>
        <w:t>I</w:t>
      </w:r>
      <w:r>
        <w:rPr>
          <w:rFonts w:ascii="Times New Roman" w:hAnsi="Times New Roman" w:cs="Times New Roman"/>
          <w:sz w:val="24"/>
          <w:szCs w:val="24"/>
        </w:rPr>
        <w:t>)</w:t>
      </w:r>
      <w:r w:rsidR="008B250E" w:rsidRPr="008B250E">
        <w:rPr>
          <w:rFonts w:ascii="Times New Roman" w:hAnsi="Times New Roman" w:cs="Times New Roman"/>
          <w:sz w:val="24"/>
          <w:szCs w:val="24"/>
        </w:rPr>
        <w:t xml:space="preserve"> is one of the m</w:t>
      </w:r>
      <w:r w:rsidR="00BC7243">
        <w:rPr>
          <w:rFonts w:ascii="Times New Roman" w:hAnsi="Times New Roman" w:cs="Times New Roman"/>
          <w:sz w:val="24"/>
          <w:szCs w:val="24"/>
        </w:rPr>
        <w:t xml:space="preserve">ain causes of patient visits in </w:t>
      </w:r>
      <w:r w:rsidR="008B250E" w:rsidRPr="008B250E">
        <w:rPr>
          <w:rFonts w:ascii="Times New Roman" w:hAnsi="Times New Roman" w:cs="Times New Roman"/>
          <w:sz w:val="24"/>
          <w:szCs w:val="24"/>
        </w:rPr>
        <w:t xml:space="preserve">health facilities both in </w:t>
      </w:r>
      <w:r w:rsidR="00BE023D">
        <w:rPr>
          <w:rFonts w:ascii="Times New Roman" w:hAnsi="Times New Roman" w:cs="Times New Roman"/>
          <w:sz w:val="24"/>
          <w:szCs w:val="24"/>
        </w:rPr>
        <w:t xml:space="preserve">community </w:t>
      </w:r>
      <w:r w:rsidR="008B250E" w:rsidRPr="008B250E">
        <w:rPr>
          <w:rFonts w:ascii="Times New Roman" w:hAnsi="Times New Roman" w:cs="Times New Roman"/>
          <w:sz w:val="24"/>
          <w:szCs w:val="24"/>
        </w:rPr>
        <w:t xml:space="preserve">health centers </w:t>
      </w:r>
      <w:r>
        <w:rPr>
          <w:rFonts w:ascii="Times New Roman" w:hAnsi="Times New Roman" w:cs="Times New Roman"/>
          <w:sz w:val="24"/>
          <w:szCs w:val="24"/>
        </w:rPr>
        <w:t>or</w:t>
      </w:r>
      <w:r w:rsidR="008B250E" w:rsidRPr="008B250E">
        <w:rPr>
          <w:rFonts w:ascii="Times New Roman" w:hAnsi="Times New Roman" w:cs="Times New Roman"/>
          <w:sz w:val="24"/>
          <w:szCs w:val="24"/>
        </w:rPr>
        <w:t xml:space="preserve"> hospitals.</w:t>
      </w:r>
      <w:r w:rsidR="00500278">
        <w:rPr>
          <w:rFonts w:ascii="Times New Roman" w:hAnsi="Times New Roman" w:cs="Times New Roman"/>
          <w:sz w:val="24"/>
          <w:szCs w:val="24"/>
        </w:rPr>
        <w:t xml:space="preserve"> </w:t>
      </w:r>
      <w:r w:rsidR="00500278" w:rsidRPr="00500278">
        <w:rPr>
          <w:rFonts w:ascii="Times New Roman" w:hAnsi="Times New Roman" w:cs="Times New Roman"/>
          <w:sz w:val="24"/>
          <w:szCs w:val="24"/>
        </w:rPr>
        <w:t xml:space="preserve">Research on the incidence of antibiotic resistance in hospitals and antibiogram </w:t>
      </w:r>
      <w:r w:rsidR="00500278">
        <w:rPr>
          <w:rFonts w:ascii="Times New Roman" w:hAnsi="Times New Roman" w:cs="Times New Roman"/>
          <w:sz w:val="24"/>
          <w:szCs w:val="24"/>
        </w:rPr>
        <w:t xml:space="preserve">profil </w:t>
      </w:r>
      <w:r w:rsidR="00500278" w:rsidRPr="00500278">
        <w:rPr>
          <w:rFonts w:ascii="Times New Roman" w:hAnsi="Times New Roman" w:cs="Times New Roman"/>
          <w:sz w:val="24"/>
          <w:szCs w:val="24"/>
        </w:rPr>
        <w:t xml:space="preserve">has been done a lot, but resistance in the treatment </w:t>
      </w:r>
      <w:r w:rsidR="00500278">
        <w:rPr>
          <w:rFonts w:ascii="Times New Roman" w:hAnsi="Times New Roman" w:cs="Times New Roman"/>
          <w:sz w:val="24"/>
          <w:szCs w:val="24"/>
        </w:rPr>
        <w:t xml:space="preserve">of antibiotics in the community </w:t>
      </w:r>
      <w:r w:rsidR="00500278" w:rsidRPr="00500278">
        <w:rPr>
          <w:rFonts w:ascii="Times New Roman" w:hAnsi="Times New Roman" w:cs="Times New Roman"/>
          <w:sz w:val="24"/>
          <w:szCs w:val="24"/>
        </w:rPr>
        <w:t xml:space="preserve">precisely in the </w:t>
      </w:r>
      <w:r w:rsidR="00500278">
        <w:rPr>
          <w:rFonts w:ascii="Times New Roman" w:hAnsi="Times New Roman" w:cs="Times New Roman"/>
          <w:sz w:val="24"/>
          <w:szCs w:val="24"/>
        </w:rPr>
        <w:t>publich health center has never been mapped</w:t>
      </w:r>
      <w:r w:rsidR="00500278" w:rsidRPr="00500278">
        <w:rPr>
          <w:rFonts w:ascii="Times New Roman" w:hAnsi="Times New Roman" w:cs="Times New Roman"/>
          <w:sz w:val="24"/>
          <w:szCs w:val="24"/>
        </w:rPr>
        <w:t>.</w:t>
      </w:r>
      <w:r w:rsidR="008B250E" w:rsidRPr="008B250E">
        <w:rPr>
          <w:rFonts w:ascii="Times New Roman" w:hAnsi="Times New Roman" w:cs="Times New Roman"/>
          <w:sz w:val="24"/>
          <w:szCs w:val="24"/>
        </w:rPr>
        <w:t xml:space="preserve"> Th</w:t>
      </w:r>
      <w:r w:rsidR="00BC7243">
        <w:rPr>
          <w:rFonts w:ascii="Times New Roman" w:hAnsi="Times New Roman" w:cs="Times New Roman"/>
          <w:sz w:val="24"/>
          <w:szCs w:val="24"/>
        </w:rPr>
        <w:t xml:space="preserve">is study </w:t>
      </w:r>
      <w:proofErr w:type="gramStart"/>
      <w:r w:rsidR="00BC7243">
        <w:rPr>
          <w:rFonts w:ascii="Times New Roman" w:hAnsi="Times New Roman" w:cs="Times New Roman"/>
          <w:sz w:val="24"/>
          <w:szCs w:val="24"/>
        </w:rPr>
        <w:t>aim</w:t>
      </w:r>
      <w:proofErr w:type="gramEnd"/>
      <w:r w:rsidR="00BC7243">
        <w:rPr>
          <w:rFonts w:ascii="Times New Roman" w:hAnsi="Times New Roman" w:cs="Times New Roman"/>
          <w:sz w:val="24"/>
          <w:szCs w:val="24"/>
        </w:rPr>
        <w:t xml:space="preserve"> </w:t>
      </w:r>
      <w:r w:rsidR="00500278">
        <w:rPr>
          <w:rFonts w:ascii="Times New Roman" w:hAnsi="Times New Roman" w:cs="Times New Roman"/>
          <w:sz w:val="24"/>
          <w:szCs w:val="24"/>
        </w:rPr>
        <w:t xml:space="preserve">to </w:t>
      </w:r>
      <w:r w:rsidR="008B250E" w:rsidRPr="008B250E">
        <w:rPr>
          <w:rFonts w:ascii="Times New Roman" w:hAnsi="Times New Roman" w:cs="Times New Roman"/>
          <w:sz w:val="24"/>
          <w:szCs w:val="24"/>
        </w:rPr>
        <w:t xml:space="preserve">determine the </w:t>
      </w:r>
      <w:r w:rsidR="00BC7243">
        <w:rPr>
          <w:rFonts w:ascii="Times New Roman" w:hAnsi="Times New Roman" w:cs="Times New Roman"/>
          <w:sz w:val="24"/>
          <w:szCs w:val="24"/>
        </w:rPr>
        <w:t>antibiogram profil</w:t>
      </w:r>
      <w:r w:rsidR="003B6C62">
        <w:rPr>
          <w:rFonts w:ascii="Times New Roman" w:hAnsi="Times New Roman" w:cs="Times New Roman"/>
          <w:sz w:val="24"/>
          <w:szCs w:val="24"/>
        </w:rPr>
        <w:t xml:space="preserve">, </w:t>
      </w:r>
      <w:r w:rsidR="008B250E" w:rsidRPr="008B250E">
        <w:rPr>
          <w:rFonts w:ascii="Times New Roman" w:hAnsi="Times New Roman" w:cs="Times New Roman"/>
          <w:sz w:val="24"/>
          <w:szCs w:val="24"/>
        </w:rPr>
        <w:t>determine empirical antibiotics</w:t>
      </w:r>
      <w:r w:rsidR="003B6C62">
        <w:rPr>
          <w:rFonts w:ascii="Times New Roman" w:hAnsi="Times New Roman" w:cs="Times New Roman"/>
          <w:sz w:val="24"/>
          <w:szCs w:val="24"/>
        </w:rPr>
        <w:t xml:space="preserve"> </w:t>
      </w:r>
      <w:r w:rsidR="003B6C62" w:rsidRPr="008B250E">
        <w:rPr>
          <w:rFonts w:ascii="Times New Roman" w:hAnsi="Times New Roman" w:cs="Times New Roman"/>
          <w:sz w:val="24"/>
          <w:szCs w:val="24"/>
        </w:rPr>
        <w:t xml:space="preserve">suitability </w:t>
      </w:r>
      <w:r w:rsidR="00786B46">
        <w:rPr>
          <w:rFonts w:ascii="Times New Roman" w:hAnsi="Times New Roman" w:cs="Times New Roman"/>
          <w:sz w:val="24"/>
          <w:szCs w:val="24"/>
        </w:rPr>
        <w:t>to</w:t>
      </w:r>
      <w:r w:rsidR="008B250E" w:rsidRPr="008B250E">
        <w:rPr>
          <w:rFonts w:ascii="Times New Roman" w:hAnsi="Times New Roman" w:cs="Times New Roman"/>
          <w:sz w:val="24"/>
          <w:szCs w:val="24"/>
        </w:rPr>
        <w:t xml:space="preserve"> therapy guidelines and </w:t>
      </w:r>
      <w:r w:rsidR="00500278">
        <w:rPr>
          <w:rFonts w:ascii="Times New Roman" w:hAnsi="Times New Roman" w:cs="Times New Roman"/>
          <w:sz w:val="24"/>
          <w:szCs w:val="24"/>
        </w:rPr>
        <w:t xml:space="preserve">the relationship of </w:t>
      </w:r>
      <w:r w:rsidR="008B250E" w:rsidRPr="008B250E">
        <w:rPr>
          <w:rFonts w:ascii="Times New Roman" w:hAnsi="Times New Roman" w:cs="Times New Roman"/>
          <w:sz w:val="24"/>
          <w:szCs w:val="24"/>
        </w:rPr>
        <w:t>suitability to clinical outcomes</w:t>
      </w:r>
      <w:r w:rsidR="00BA20CB">
        <w:rPr>
          <w:rFonts w:ascii="Times New Roman" w:hAnsi="Times New Roman" w:cs="Times New Roman"/>
          <w:sz w:val="24"/>
          <w:szCs w:val="24"/>
        </w:rPr>
        <w:t xml:space="preserve"> of </w:t>
      </w:r>
      <w:r w:rsidR="00BA20CB" w:rsidRPr="008B250E">
        <w:rPr>
          <w:rFonts w:ascii="Times New Roman" w:hAnsi="Times New Roman" w:cs="Times New Roman"/>
          <w:sz w:val="24"/>
          <w:szCs w:val="24"/>
        </w:rPr>
        <w:t>ARI</w:t>
      </w:r>
      <w:r w:rsidR="00500278">
        <w:rPr>
          <w:rFonts w:ascii="Times New Roman" w:hAnsi="Times New Roman" w:cs="Times New Roman"/>
          <w:sz w:val="24"/>
          <w:szCs w:val="24"/>
        </w:rPr>
        <w:t xml:space="preserve"> </w:t>
      </w:r>
      <w:r w:rsidR="002A25F1">
        <w:rPr>
          <w:rFonts w:ascii="Times New Roman" w:hAnsi="Times New Roman" w:cs="Times New Roman"/>
          <w:sz w:val="24"/>
          <w:szCs w:val="24"/>
        </w:rPr>
        <w:t>p</w:t>
      </w:r>
      <w:r w:rsidR="00BA20CB">
        <w:rPr>
          <w:rFonts w:ascii="Times New Roman" w:hAnsi="Times New Roman" w:cs="Times New Roman"/>
          <w:sz w:val="24"/>
          <w:szCs w:val="24"/>
        </w:rPr>
        <w:t>atients</w:t>
      </w:r>
      <w:r w:rsidR="002A25F1">
        <w:rPr>
          <w:rFonts w:ascii="Times New Roman" w:hAnsi="Times New Roman" w:cs="Times New Roman"/>
          <w:sz w:val="24"/>
          <w:szCs w:val="24"/>
        </w:rPr>
        <w:t xml:space="preserve"> at</w:t>
      </w:r>
      <w:r w:rsidR="00BA20CB" w:rsidRPr="008B250E">
        <w:rPr>
          <w:rFonts w:ascii="Times New Roman" w:hAnsi="Times New Roman" w:cs="Times New Roman"/>
          <w:sz w:val="24"/>
          <w:szCs w:val="24"/>
        </w:rPr>
        <w:t xml:space="preserve"> Jetis </w:t>
      </w:r>
      <w:r w:rsidR="00BA20CB">
        <w:rPr>
          <w:rFonts w:ascii="Times New Roman" w:hAnsi="Times New Roman" w:cs="Times New Roman"/>
          <w:sz w:val="24"/>
          <w:szCs w:val="24"/>
        </w:rPr>
        <w:t>Public Health Center</w:t>
      </w:r>
      <w:r w:rsidR="009B4A3D">
        <w:rPr>
          <w:rFonts w:ascii="Times New Roman" w:hAnsi="Times New Roman" w:cs="Times New Roman"/>
          <w:sz w:val="24"/>
          <w:szCs w:val="24"/>
        </w:rPr>
        <w:t xml:space="preserve">, </w:t>
      </w:r>
      <w:r w:rsidR="009B4A3D" w:rsidRPr="008B250E">
        <w:rPr>
          <w:rFonts w:ascii="Times New Roman" w:hAnsi="Times New Roman" w:cs="Times New Roman"/>
          <w:sz w:val="24"/>
          <w:szCs w:val="24"/>
        </w:rPr>
        <w:t>Yogy</w:t>
      </w:r>
      <w:r w:rsidR="009B4A3D">
        <w:rPr>
          <w:rFonts w:ascii="Times New Roman" w:hAnsi="Times New Roman" w:cs="Times New Roman"/>
          <w:sz w:val="24"/>
          <w:szCs w:val="24"/>
        </w:rPr>
        <w:t>akarta</w:t>
      </w:r>
      <w:r w:rsidR="008B250E" w:rsidRPr="008B250E">
        <w:rPr>
          <w:rFonts w:ascii="Times New Roman" w:hAnsi="Times New Roman" w:cs="Times New Roman"/>
          <w:sz w:val="24"/>
          <w:szCs w:val="24"/>
        </w:rPr>
        <w:t>. This study was an</w:t>
      </w:r>
      <w:r w:rsidR="002A25F1">
        <w:rPr>
          <w:rFonts w:ascii="Times New Roman" w:hAnsi="Times New Roman" w:cs="Times New Roman"/>
          <w:sz w:val="24"/>
          <w:szCs w:val="24"/>
        </w:rPr>
        <w:t xml:space="preserve"> </w:t>
      </w:r>
      <w:r w:rsidR="008B250E" w:rsidRPr="008B250E">
        <w:rPr>
          <w:rFonts w:ascii="Times New Roman" w:hAnsi="Times New Roman" w:cs="Times New Roman"/>
          <w:sz w:val="24"/>
          <w:szCs w:val="24"/>
        </w:rPr>
        <w:t xml:space="preserve">observational study conducted </w:t>
      </w:r>
      <w:r w:rsidR="00500278">
        <w:rPr>
          <w:rFonts w:ascii="Times New Roman" w:hAnsi="Times New Roman" w:cs="Times New Roman"/>
          <w:sz w:val="24"/>
          <w:szCs w:val="24"/>
        </w:rPr>
        <w:t xml:space="preserve">using </w:t>
      </w:r>
      <w:r w:rsidR="008B250E" w:rsidRPr="008B250E">
        <w:rPr>
          <w:rFonts w:ascii="Times New Roman" w:hAnsi="Times New Roman" w:cs="Times New Roman"/>
          <w:sz w:val="24"/>
          <w:szCs w:val="24"/>
        </w:rPr>
        <w:t>descriptive-analytic</w:t>
      </w:r>
      <w:r w:rsidR="00500278">
        <w:rPr>
          <w:rFonts w:ascii="Times New Roman" w:hAnsi="Times New Roman" w:cs="Times New Roman"/>
          <w:sz w:val="24"/>
          <w:szCs w:val="24"/>
        </w:rPr>
        <w:t xml:space="preserve"> method </w:t>
      </w:r>
      <w:r w:rsidR="008B250E" w:rsidRPr="008B250E">
        <w:rPr>
          <w:rFonts w:ascii="Times New Roman" w:hAnsi="Times New Roman" w:cs="Times New Roman"/>
          <w:sz w:val="24"/>
          <w:szCs w:val="24"/>
        </w:rPr>
        <w:t>with a cohort design throu</w:t>
      </w:r>
      <w:r w:rsidR="002A25F1">
        <w:rPr>
          <w:rFonts w:ascii="Times New Roman" w:hAnsi="Times New Roman" w:cs="Times New Roman"/>
          <w:sz w:val="24"/>
          <w:szCs w:val="24"/>
        </w:rPr>
        <w:t xml:space="preserve">gh prospective data tracing of ARI </w:t>
      </w:r>
      <w:r w:rsidR="008B250E" w:rsidRPr="008B250E">
        <w:rPr>
          <w:rFonts w:ascii="Times New Roman" w:hAnsi="Times New Roman" w:cs="Times New Roman"/>
          <w:sz w:val="24"/>
          <w:szCs w:val="24"/>
        </w:rPr>
        <w:t xml:space="preserve">patients at Jetis Yogyakarta Public Health Center in April-August 2019. </w:t>
      </w:r>
      <w:r w:rsidR="002A25F1">
        <w:rPr>
          <w:rFonts w:ascii="Times New Roman" w:hAnsi="Times New Roman" w:cs="Times New Roman"/>
          <w:sz w:val="24"/>
          <w:szCs w:val="24"/>
        </w:rPr>
        <w:t xml:space="preserve">There were 44 </w:t>
      </w:r>
      <w:r w:rsidR="008B250E" w:rsidRPr="008B250E">
        <w:rPr>
          <w:rFonts w:ascii="Times New Roman" w:hAnsi="Times New Roman" w:cs="Times New Roman"/>
          <w:sz w:val="24"/>
          <w:szCs w:val="24"/>
        </w:rPr>
        <w:t xml:space="preserve">patients </w:t>
      </w:r>
      <w:r w:rsidR="002A25F1">
        <w:rPr>
          <w:rFonts w:ascii="Times New Roman" w:hAnsi="Times New Roman" w:cs="Times New Roman"/>
          <w:sz w:val="24"/>
          <w:szCs w:val="24"/>
        </w:rPr>
        <w:t xml:space="preserve">who </w:t>
      </w:r>
      <w:r w:rsidR="008B250E" w:rsidRPr="008B250E">
        <w:rPr>
          <w:rFonts w:ascii="Times New Roman" w:hAnsi="Times New Roman" w:cs="Times New Roman"/>
          <w:sz w:val="24"/>
          <w:szCs w:val="24"/>
        </w:rPr>
        <w:t>diagnosed ARI at Jetis Y</w:t>
      </w:r>
      <w:r w:rsidR="002A25F1">
        <w:rPr>
          <w:rFonts w:ascii="Times New Roman" w:hAnsi="Times New Roman" w:cs="Times New Roman"/>
          <w:sz w:val="24"/>
          <w:szCs w:val="24"/>
        </w:rPr>
        <w:t xml:space="preserve">ogyakarta Health Center during </w:t>
      </w:r>
      <w:r w:rsidR="008B250E" w:rsidRPr="008B250E">
        <w:rPr>
          <w:rFonts w:ascii="Times New Roman" w:hAnsi="Times New Roman" w:cs="Times New Roman"/>
          <w:sz w:val="24"/>
          <w:szCs w:val="24"/>
        </w:rPr>
        <w:t>April</w:t>
      </w:r>
      <w:r w:rsidR="002A25F1">
        <w:rPr>
          <w:rFonts w:ascii="Times New Roman" w:hAnsi="Times New Roman" w:cs="Times New Roman"/>
          <w:sz w:val="24"/>
          <w:szCs w:val="24"/>
        </w:rPr>
        <w:t xml:space="preserve"> </w:t>
      </w:r>
      <w:r w:rsidR="008B250E" w:rsidRPr="008B250E">
        <w:rPr>
          <w:rFonts w:ascii="Times New Roman" w:hAnsi="Times New Roman" w:cs="Times New Roman"/>
          <w:sz w:val="24"/>
          <w:szCs w:val="24"/>
        </w:rPr>
        <w:t xml:space="preserve">- August 2019. </w:t>
      </w:r>
      <w:r w:rsidR="00410039">
        <w:rPr>
          <w:rFonts w:ascii="Times New Roman" w:hAnsi="Times New Roman" w:cs="Times New Roman"/>
          <w:sz w:val="24"/>
          <w:szCs w:val="24"/>
        </w:rPr>
        <w:t>Description of a</w:t>
      </w:r>
      <w:r w:rsidR="002A25F1">
        <w:rPr>
          <w:rFonts w:ascii="Times New Roman" w:hAnsi="Times New Roman" w:cs="Times New Roman"/>
          <w:sz w:val="24"/>
          <w:szCs w:val="24"/>
        </w:rPr>
        <w:t xml:space="preserve">ntibiogram profil </w:t>
      </w:r>
      <w:r w:rsidR="008B250E" w:rsidRPr="008B250E">
        <w:rPr>
          <w:rFonts w:ascii="Times New Roman" w:hAnsi="Times New Roman" w:cs="Times New Roman"/>
          <w:sz w:val="24"/>
          <w:szCs w:val="24"/>
        </w:rPr>
        <w:t>in ARI patients at the Jetis Yogyakarta health center</w:t>
      </w:r>
      <w:r w:rsidR="00410039">
        <w:rPr>
          <w:rFonts w:ascii="Times New Roman" w:hAnsi="Times New Roman" w:cs="Times New Roman"/>
          <w:sz w:val="24"/>
          <w:szCs w:val="24"/>
        </w:rPr>
        <w:t xml:space="preserve"> showed that </w:t>
      </w:r>
      <w:r w:rsidR="008B250E" w:rsidRPr="008B250E">
        <w:rPr>
          <w:rFonts w:ascii="Times New Roman" w:hAnsi="Times New Roman" w:cs="Times New Roman"/>
          <w:sz w:val="24"/>
          <w:szCs w:val="24"/>
        </w:rPr>
        <w:t xml:space="preserve">the largest pattern </w:t>
      </w:r>
      <w:r w:rsidR="00410039">
        <w:rPr>
          <w:rFonts w:ascii="Times New Roman" w:hAnsi="Times New Roman" w:cs="Times New Roman"/>
          <w:sz w:val="24"/>
          <w:szCs w:val="24"/>
        </w:rPr>
        <w:t>was</w:t>
      </w:r>
      <w:r w:rsidR="008B250E" w:rsidRPr="008B250E">
        <w:rPr>
          <w:rFonts w:ascii="Times New Roman" w:hAnsi="Times New Roman" w:cs="Times New Roman"/>
          <w:sz w:val="24"/>
          <w:szCs w:val="24"/>
        </w:rPr>
        <w:t xml:space="preserve"> Gram-negative bacteria (50</w:t>
      </w:r>
      <w:r w:rsidR="00410039">
        <w:rPr>
          <w:rFonts w:ascii="Times New Roman" w:hAnsi="Times New Roman" w:cs="Times New Roman"/>
          <w:sz w:val="24"/>
          <w:szCs w:val="24"/>
        </w:rPr>
        <w:t>.8%) and then Gram-positive bacteria (</w:t>
      </w:r>
      <w:r w:rsidR="008B250E" w:rsidRPr="008B250E">
        <w:rPr>
          <w:rFonts w:ascii="Times New Roman" w:hAnsi="Times New Roman" w:cs="Times New Roman"/>
          <w:sz w:val="24"/>
          <w:szCs w:val="24"/>
        </w:rPr>
        <w:t>27.2%</w:t>
      </w:r>
      <w:r w:rsidR="00410039">
        <w:rPr>
          <w:rFonts w:ascii="Times New Roman" w:hAnsi="Times New Roman" w:cs="Times New Roman"/>
          <w:sz w:val="24"/>
          <w:szCs w:val="24"/>
        </w:rPr>
        <w:t>)</w:t>
      </w:r>
      <w:r w:rsidR="008B250E" w:rsidRPr="008B250E">
        <w:rPr>
          <w:rFonts w:ascii="Times New Roman" w:hAnsi="Times New Roman" w:cs="Times New Roman"/>
          <w:sz w:val="24"/>
          <w:szCs w:val="24"/>
        </w:rPr>
        <w:t>.</w:t>
      </w:r>
      <w:r w:rsidR="00786B46">
        <w:rPr>
          <w:rFonts w:ascii="Times New Roman" w:hAnsi="Times New Roman" w:cs="Times New Roman"/>
          <w:sz w:val="24"/>
          <w:szCs w:val="24"/>
        </w:rPr>
        <w:t xml:space="preserve"> </w:t>
      </w:r>
      <w:r w:rsidR="00786B46" w:rsidRPr="00786B46">
        <w:rPr>
          <w:rFonts w:ascii="Times New Roman" w:hAnsi="Times New Roman" w:cs="Times New Roman"/>
          <w:sz w:val="24"/>
          <w:szCs w:val="24"/>
        </w:rPr>
        <w:t xml:space="preserve">Empirical antibiotic suitability </w:t>
      </w:r>
      <w:r w:rsidR="00786B46">
        <w:rPr>
          <w:rFonts w:ascii="Times New Roman" w:hAnsi="Times New Roman" w:cs="Times New Roman"/>
          <w:sz w:val="24"/>
          <w:szCs w:val="24"/>
        </w:rPr>
        <w:t xml:space="preserve">to guidline </w:t>
      </w:r>
      <w:r w:rsidR="00786B46" w:rsidRPr="00786B46">
        <w:rPr>
          <w:rFonts w:ascii="Times New Roman" w:hAnsi="Times New Roman" w:cs="Times New Roman"/>
          <w:sz w:val="24"/>
          <w:szCs w:val="24"/>
        </w:rPr>
        <w:t xml:space="preserve">results </w:t>
      </w:r>
      <w:r w:rsidR="00786B46">
        <w:rPr>
          <w:rFonts w:ascii="Times New Roman" w:hAnsi="Times New Roman" w:cs="Times New Roman"/>
          <w:sz w:val="24"/>
          <w:szCs w:val="24"/>
        </w:rPr>
        <w:t xml:space="preserve">were 93% </w:t>
      </w:r>
      <w:r w:rsidR="00786B46" w:rsidRPr="00786B46">
        <w:rPr>
          <w:rFonts w:ascii="Times New Roman" w:hAnsi="Times New Roman" w:cs="Times New Roman"/>
          <w:sz w:val="24"/>
          <w:szCs w:val="24"/>
        </w:rPr>
        <w:t>(4</w:t>
      </w:r>
      <w:r w:rsidR="006B6E3B">
        <w:rPr>
          <w:rFonts w:ascii="Times New Roman" w:hAnsi="Times New Roman" w:cs="Times New Roman"/>
          <w:sz w:val="24"/>
          <w:szCs w:val="24"/>
        </w:rPr>
        <w:t>0</w:t>
      </w:r>
      <w:r w:rsidR="00786B46" w:rsidRPr="00786B46">
        <w:rPr>
          <w:rFonts w:ascii="Times New Roman" w:hAnsi="Times New Roman" w:cs="Times New Roman"/>
          <w:sz w:val="24"/>
          <w:szCs w:val="24"/>
        </w:rPr>
        <w:t xml:space="preserve"> patients) </w:t>
      </w:r>
      <w:r w:rsidR="00786B46">
        <w:rPr>
          <w:rFonts w:ascii="Times New Roman" w:hAnsi="Times New Roman" w:cs="Times New Roman"/>
          <w:sz w:val="24"/>
          <w:szCs w:val="24"/>
        </w:rPr>
        <w:t xml:space="preserve">suitable and </w:t>
      </w:r>
      <w:r w:rsidR="006B6E3B">
        <w:rPr>
          <w:rFonts w:ascii="Times New Roman" w:hAnsi="Times New Roman" w:cs="Times New Roman"/>
          <w:sz w:val="24"/>
          <w:szCs w:val="24"/>
        </w:rPr>
        <w:t>7</w:t>
      </w:r>
      <w:r w:rsidR="00786B46">
        <w:rPr>
          <w:rFonts w:ascii="Times New Roman" w:hAnsi="Times New Roman" w:cs="Times New Roman"/>
          <w:sz w:val="24"/>
          <w:szCs w:val="24"/>
        </w:rPr>
        <w:t xml:space="preserve">% (3 pastients) unsuitable. </w:t>
      </w:r>
      <w:r w:rsidR="00165B1B">
        <w:rPr>
          <w:rFonts w:ascii="Times New Roman" w:hAnsi="Times New Roman" w:cs="Times New Roman"/>
          <w:i/>
          <w:szCs w:val="24"/>
        </w:rPr>
        <w:t>L</w:t>
      </w:r>
      <w:r w:rsidR="00165B1B" w:rsidRPr="00165B1B">
        <w:rPr>
          <w:rFonts w:ascii="Times New Roman" w:hAnsi="Times New Roman" w:cs="Times New Roman"/>
          <w:i/>
          <w:szCs w:val="24"/>
        </w:rPr>
        <w:t>ikelihood ratio</w:t>
      </w:r>
      <w:r w:rsidR="00165B1B" w:rsidRPr="009D3173">
        <w:rPr>
          <w:rFonts w:ascii="Times New Roman" w:hAnsi="Times New Roman" w:cs="Times New Roman"/>
          <w:sz w:val="24"/>
          <w:szCs w:val="24"/>
        </w:rPr>
        <w:t xml:space="preserve"> </w:t>
      </w:r>
      <w:r w:rsidR="00BC7243" w:rsidRPr="009D3173">
        <w:rPr>
          <w:rFonts w:ascii="Times New Roman" w:hAnsi="Times New Roman" w:cs="Times New Roman"/>
          <w:sz w:val="24"/>
          <w:szCs w:val="24"/>
        </w:rPr>
        <w:t>analysis</w:t>
      </w:r>
      <w:r w:rsidR="008B250E" w:rsidRPr="009D3173">
        <w:rPr>
          <w:rFonts w:ascii="Times New Roman" w:hAnsi="Times New Roman" w:cs="Times New Roman"/>
          <w:sz w:val="24"/>
          <w:szCs w:val="24"/>
        </w:rPr>
        <w:t xml:space="preserve"> showed </w:t>
      </w:r>
      <w:r w:rsidR="00BC7243" w:rsidRPr="009D3173">
        <w:rPr>
          <w:rFonts w:ascii="Times New Roman" w:hAnsi="Times New Roman" w:cs="Times New Roman"/>
          <w:sz w:val="24"/>
          <w:szCs w:val="24"/>
        </w:rPr>
        <w:t xml:space="preserve">that </w:t>
      </w:r>
      <w:r w:rsidR="008B250E" w:rsidRPr="009D3173">
        <w:rPr>
          <w:rFonts w:ascii="Times New Roman" w:hAnsi="Times New Roman" w:cs="Times New Roman"/>
          <w:sz w:val="24"/>
          <w:szCs w:val="24"/>
        </w:rPr>
        <w:t xml:space="preserve">there was no significant relationship between the suitability of empirical antibiotic </w:t>
      </w:r>
      <w:r w:rsidR="009D3173">
        <w:rPr>
          <w:rFonts w:ascii="Times New Roman" w:hAnsi="Times New Roman" w:cs="Times New Roman"/>
          <w:sz w:val="24"/>
          <w:szCs w:val="24"/>
        </w:rPr>
        <w:t>and clinical outcome</w:t>
      </w:r>
      <w:r w:rsidR="008B250E" w:rsidRPr="009D3173">
        <w:rPr>
          <w:rFonts w:ascii="Times New Roman" w:hAnsi="Times New Roman" w:cs="Times New Roman"/>
          <w:sz w:val="24"/>
          <w:szCs w:val="24"/>
        </w:rPr>
        <w:t xml:space="preserve"> </w:t>
      </w:r>
      <w:r w:rsidR="009D3173">
        <w:rPr>
          <w:rFonts w:ascii="Times New Roman" w:hAnsi="Times New Roman" w:cs="Times New Roman"/>
          <w:sz w:val="24"/>
          <w:szCs w:val="24"/>
        </w:rPr>
        <w:t>of</w:t>
      </w:r>
      <w:r w:rsidR="008B250E" w:rsidRPr="009D3173">
        <w:rPr>
          <w:rFonts w:ascii="Times New Roman" w:hAnsi="Times New Roman" w:cs="Times New Roman"/>
          <w:sz w:val="24"/>
          <w:szCs w:val="24"/>
        </w:rPr>
        <w:t xml:space="preserve"> ARI patients with p </w:t>
      </w:r>
      <w:r w:rsidR="009D3173">
        <w:rPr>
          <w:rFonts w:ascii="Times New Roman" w:hAnsi="Times New Roman" w:cs="Times New Roman"/>
          <w:sz w:val="24"/>
          <w:szCs w:val="24"/>
        </w:rPr>
        <w:t xml:space="preserve">value </w:t>
      </w:r>
      <w:r w:rsidR="008B250E" w:rsidRPr="009D3173">
        <w:rPr>
          <w:rFonts w:ascii="Times New Roman" w:hAnsi="Times New Roman" w:cs="Times New Roman"/>
          <w:sz w:val="24"/>
          <w:szCs w:val="24"/>
        </w:rPr>
        <w:t>= 0.</w:t>
      </w:r>
      <w:r w:rsidR="006B6E3B">
        <w:rPr>
          <w:rFonts w:ascii="Times New Roman" w:hAnsi="Times New Roman" w:cs="Times New Roman"/>
          <w:sz w:val="24"/>
          <w:szCs w:val="24"/>
        </w:rPr>
        <w:t>152</w:t>
      </w:r>
      <w:r w:rsidR="008B250E" w:rsidRPr="009D3173">
        <w:rPr>
          <w:rFonts w:ascii="Times New Roman" w:hAnsi="Times New Roman" w:cs="Times New Roman"/>
          <w:sz w:val="24"/>
          <w:szCs w:val="24"/>
        </w:rPr>
        <w:t>.</w:t>
      </w:r>
    </w:p>
    <w:p w14:paraId="07627C28" w14:textId="28943868" w:rsidR="004375C4" w:rsidRDefault="008B250E" w:rsidP="008B250E">
      <w:pPr>
        <w:rPr>
          <w:rFonts w:ascii="Times New Roman" w:hAnsi="Times New Roman" w:cs="Times New Roman"/>
          <w:sz w:val="24"/>
          <w:szCs w:val="24"/>
        </w:rPr>
      </w:pPr>
      <w:r w:rsidRPr="008B250E">
        <w:rPr>
          <w:rFonts w:ascii="Times New Roman" w:hAnsi="Times New Roman" w:cs="Times New Roman"/>
          <w:sz w:val="24"/>
          <w:szCs w:val="24"/>
        </w:rPr>
        <w:t xml:space="preserve">Keywords: ARI, </w:t>
      </w:r>
      <w:r w:rsidR="00C71DA2">
        <w:rPr>
          <w:rFonts w:ascii="Times New Roman" w:hAnsi="Times New Roman" w:cs="Times New Roman"/>
          <w:sz w:val="24"/>
          <w:szCs w:val="24"/>
        </w:rPr>
        <w:t>antibiogram, clinical outcome, empirical a</w:t>
      </w:r>
      <w:r w:rsidRPr="008B250E">
        <w:rPr>
          <w:rFonts w:ascii="Times New Roman" w:hAnsi="Times New Roman" w:cs="Times New Roman"/>
          <w:sz w:val="24"/>
          <w:szCs w:val="24"/>
        </w:rPr>
        <w:t>ntibiotics</w:t>
      </w:r>
      <w:bookmarkEnd w:id="5"/>
    </w:p>
    <w:p w14:paraId="5944A740" w14:textId="77777777" w:rsidR="0076199B" w:rsidRPr="00402F1C" w:rsidRDefault="0076199B" w:rsidP="008B250E">
      <w:pPr>
        <w:rPr>
          <w:rFonts w:ascii="Times New Roman" w:hAnsi="Times New Roman" w:cs="Times New Roman"/>
          <w:sz w:val="24"/>
          <w:szCs w:val="24"/>
        </w:rPr>
      </w:pPr>
    </w:p>
    <w:p w14:paraId="3CE10760" w14:textId="189EA638" w:rsidR="004375C4" w:rsidRPr="00402F1C" w:rsidRDefault="004375C4" w:rsidP="004375C4">
      <w:pPr>
        <w:rPr>
          <w:rFonts w:ascii="Times New Roman" w:hAnsi="Times New Roman" w:cs="Times New Roman"/>
          <w:b/>
          <w:sz w:val="24"/>
          <w:szCs w:val="24"/>
        </w:rPr>
      </w:pPr>
      <w:r w:rsidRPr="00402F1C">
        <w:rPr>
          <w:rFonts w:ascii="Times New Roman" w:hAnsi="Times New Roman" w:cs="Times New Roman"/>
          <w:b/>
          <w:sz w:val="24"/>
          <w:szCs w:val="24"/>
        </w:rPr>
        <w:t>PENDAHULUAN</w:t>
      </w:r>
    </w:p>
    <w:p w14:paraId="1BAEA3EF" w14:textId="77777777" w:rsidR="0076199B" w:rsidRDefault="0076199B" w:rsidP="006B3EC4">
      <w:pPr>
        <w:spacing w:line="240" w:lineRule="auto"/>
        <w:ind w:firstLine="720"/>
        <w:jc w:val="both"/>
        <w:rPr>
          <w:rFonts w:ascii="Times New Roman" w:hAnsi="Times New Roman" w:cs="Times New Roman"/>
          <w:sz w:val="24"/>
          <w:szCs w:val="24"/>
        </w:rPr>
        <w:sectPr w:rsidR="0076199B" w:rsidSect="0076199B">
          <w:pgSz w:w="11907" w:h="16839" w:code="9"/>
          <w:pgMar w:top="1440" w:right="1440" w:bottom="1440" w:left="1440" w:header="720" w:footer="720" w:gutter="0"/>
          <w:cols w:space="720"/>
          <w:docGrid w:linePitch="360"/>
        </w:sectPr>
      </w:pPr>
    </w:p>
    <w:p w14:paraId="0512F7DC" w14:textId="62D18A2C" w:rsidR="00DE0B12" w:rsidRDefault="00DE0B12" w:rsidP="006B3EC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Penggunaan antibiotik yang tidak tepat dianggap sebagai alasan utama untuk resistensi bakteri terhadap antibiotik. Di negara-negara maju seperti Amerika Serikat dan Kanada, diperkirakan bahwa 30-50% resep antibiotik tidak sesuai. Selanjutnya, sekitar 50% dari semua resep antibiotik bertujuan pada pengobatan infeksi saluran pernapasan atas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{"citationID":"VgUenPsp","properties":{"formattedCitation":"(Fleming-Dutra dkk., 2016; McCullough dkk., 2017)","plainCitation":"(Fleming-Dutra dkk., 2016; McCullough dkk., 2017)","noteIndex":0},"citationItems":[{"id":83,"uris":["http://zotero.org/users/local/okMTWyI6/items/5Z9SHWKH"],"uri":["http://zotero.org/users/local/okMTWyI6/items/5Z9SHWKH"],"itemData":{"id":83,"type":"article-journal","title":"Prevalence of Inappropriate Antibiotic Prescriptions Among US Ambulatory Care Visits, 2010-2011","container-title":"JAMA","page":"1864-1873","volume":"315","issue":"17","source":"PubMed","abstract":"IMPORTANCE: The National Action Plan for Combating Antibiotic-Resistant Bacteria set a goal of reducing inappropriate outpatient antibiotic use by 50% by 2020, but the extent of inappropriate outpatient antibiotic use is unknown.\nOBJECTIVE: To estimate the rates of outpatient oral antibiotic prescribing by age and diagnosis, and the estimated portions of antibiotic use that may be inappropriate in adults and children in the United States.\nDESIGN, SETTING, AND PARTICIPANTS: Using the 2010-2011 National Ambulatory Medical Care Survey and National Hospital Ambulatory Medical Care Survey, annual numbers and population-adjusted rates with 95% confidence intervals of ambulatory visits with oral antibiotic prescriptions by age, region, and diagnosis in the United States were estimated.\nEXPOSURES: Ambulatory care visits.\nMAIN OUTCOMES AND MEASURES: Based on national guidelines and regional variation in prescribing, diagnosis-specific prevalence and rates of total and appropriate antibiotic prescriptions were determined. These rates were combined to calculate an estimate of the appropriate annual rate of antibiotic prescriptions per 1000 population.\nRESULTS: Of the 184,032 sampled visits, 12.6% of visits (95% CI, 12.0%-13.3%) resulted in antibiotic prescriptions. Sinusitis was the single diagnosis associated with the most antibiotic prescriptions per 1000 population (56 antibiotic prescriptions [95% CI, 48-64]), followed by suppurative otitis media (47 antibiotic prescriptions [95% CI, 41-54]), and pharyngitis (43 antibiotic prescriptions [95% CI, 38-49]). Collectively, acute respiratory conditions per 1000 population led to 221 antibiotic prescriptions (95% CI, 198-245) annually, but only 111 antibiotic prescriptions were estimated to be appropriate for these conditions. Per 1000 population, among all conditions and ages combined in 2010-2011, an estimated 506 antibiotic prescriptions (95% CI, 458-554) were written annually, and, of these, 353 antibiotic prescriptions were estimated to be appropriate antibiotic prescriptions.\nCONCLUSIONS AND RELEVANCE: In the United States in 2010-2011, there was an estimated annual antibiotic prescription rate per 1000 population of 506, but only an estimated 353 antibiotic prescriptions were likely appropriate, supporting the need for establishing a goal for outpatient antibiotic stewardship.","DOI":"10.1001/jama.2016.4151","ISSN":"1538-3598","note":"PMID: 27139059","journalAbbreviation":"JAMA","language":"eng","author":[{"family":"Fleming-Dutra","given":"Katherine E."},{"family":"Hersh","given":"Adam L."},{"family":"Shapiro","given":"Daniel J."},{"family":"Bartoces","given":"Monina"},{"family":"Enns","given":"Eva A."},{"family":"File","given":"Thomas M."},{"family":"Finkelstein","given":"Jonathan A."},{"family":"Gerber","given":"Jeffrey S."},{"family":"Hyun","given":"David Y."},{"family":"Linder","given":"Jeffrey A."},{"family":"Lynfield","given":"Ruth"},{"family":"Margolis","given":"David J."},{"family":"May","given":"Larissa S."},{"family":"Merenstein","given":"Daniel"},{"family":"Metlay","given":"Joshua P."},{"family":"Newland","given":"Jason G."},{"family":"Piccirillo","given":"Jay F."},{"family":"Roberts","given":"Rebecca M."},{"family":"Sanchez","given":"Guillermo V."},{"family":"Suda","given":"Katie J."},{"family":"Thomas","given":"Ann"},{"family":"Woo","given":"Teri Moser"},{"family":"Zetts","given":"Rachel M."},{"family":"Hicks","given":"Lauri A."}],"issued":{"date-parts":[["2016",5,3]]}}},{"id":85,"uris":["http://zotero.org/users/local/okMTWyI6/items/N6GRQ94A"],"uri":["http://zotero.org/users/local/okMTWyI6/items/N6GRQ94A"],"itemData":{"id":85,"type":"article-journal","title":"Antibiotics for acute respiratory infections in general practice: comparison of prescribing rates with guideline recommendations","container-title":"The Medical Journal of Australia","page":"65-69","volume":"207","issue":"2","source":"PubMed","abstract":"OBJECTIVE: To compare the current rate of antibiotic prescribing for acute respiratory infections (ARIs) in Australian general practice with the recommendations in the most widely consulted therapeutic guidelines in Australia (Therapeutic Guidelines).\nDESIGN AND SETTING: Comparison of general practice activity data for April 2010 - March 2015 (derived from Bettering the Evaluation and Care of Health [BEACH] study) with estimated rates of prescribing recommended by Therapeutic Guidelines.\nMAIN OUTCOME MEASURES: Antibiotic prescribing rates and estimated guideline-recommended rates per 100 encounters and per full-time equivalent (FTE) GP per year for eight ARIs; number of prescriptions nationally per year.\nRESULTS: An estimated mean 5.97 million (95% CI, 5.69-6.24 million) ARI cases per year were managed in Australian general practice with at least one antibiotic, equivalent to an estimated 230 cases per FTE GP/year (95% CI, 219-240 cases/FTE/year). Antibiotics are not recommended by the guidelines for acute bronchitis/bronchiolitis (current prescribing rate, 85%) or influenza (11%); they are always recommended for community-acquired pneumonia (current prescribing rate, 72%) and pertussis (71%); and they are recommended for 0.5-8% of cases of acute rhinosinusitis (current prescribing rate, 41%), 20-31% of cases of acute otitis media (89%), and 19-40% cases of acute pharyngitis or tonsillitis (94%). Had GPs adhered to the guidelines, they would have prescribed antibiotics for 0.65-1.36 million ARIs per year nationally, or at 11-23% of the current prescribing rate. Antibiotics were prescribed more frequently than recommended for acute rhinosinusitis, acute bronchitis/bronchiolitis, acute otitis media, and acute pharyngitis/tonsillitis.\nCONCLUSIONS: Antibiotics are prescribed for ARIs at rates 4-9 times as high as those recommended by Therapeutic Guidelines. Our data provide the basis for setting absolute targets for reducing antibiotic prescribing in Australian general practice.","ISSN":"1326-5377","note":"PMID: 28701117","shortTitle":"Antibiotics for acute respiratory infections in general practice","journalAbbreviation":"Med. J. Aust.","language":"eng","author":[{"family":"McCullough","given":"Amanda R."},{"family":"Pollack","given":"Allan J."},{"family":"Plejdrup Hansen","given":"Malene"},{"family":"Glasziou","given":"Paul P."},{"family":"Looke","given":"David Fm"},{"family":"Britt","given":"Helena C."},{"family":"Del Mar","given":"Christopher B."}],"issued":{"date-parts":[["2017",7,17]]}}}],"schema":"https://github.com/citation-style-language/schema/raw/master/csl-citation.json"}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(Fleming-Dutra dkk., 2016; McCullough dkk., 2017)</w:t>
      </w:r>
      <w:r>
        <w:rPr>
          <w:rFonts w:ascii="Times New Roman" w:hAnsi="Times New Roman" w:cs="Times New Roman"/>
          <w:sz w:val="24"/>
          <w:szCs w:val="24"/>
        </w:rPr>
        <w:fldChar w:fldCharType="end"/>
      </w:r>
      <w:r>
        <w:rPr>
          <w:rFonts w:ascii="Times New Roman" w:hAnsi="Times New Roman" w:cs="Times New Roman"/>
          <w:sz w:val="24"/>
          <w:szCs w:val="24"/>
        </w:rPr>
        <w:t>.</w:t>
      </w:r>
      <w:r w:rsidR="0078050C">
        <w:rPr>
          <w:rFonts w:ascii="Times New Roman" w:hAnsi="Times New Roman" w:cs="Times New Roman"/>
          <w:sz w:val="24"/>
          <w:szCs w:val="24"/>
        </w:rPr>
        <w:t xml:space="preserve"> </w:t>
      </w:r>
      <w:r>
        <w:rPr>
          <w:rFonts w:ascii="Times New Roman" w:hAnsi="Times New Roman" w:cs="Times New Roman"/>
          <w:sz w:val="24"/>
          <w:szCs w:val="24"/>
        </w:rPr>
        <w:t xml:space="preserve">Resistensi antibiotik berhubungan dengan penggunaan antibiotik, sehingga penatalaksanaan antimikroba yang lebih baik, dengan pencegahan dan diagnosis infeksi yang lebih baik, dapat membantu melestarikan agen antimikroba yang tersedia saat ini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{"citationID":"a13k5f0e1el","properties":{"formattedCitation":"(MacGowan dan Macnaughton, 2017)","plainCitation":"(MacGowan dan Macnaughton, 2017)","noteIndex":0},"citationItems":[{"id":65,"uris":["http://zotero.org/users/local/okMTWyI6/items/XCPSGBLN"],"uri":["http://zotero.org/users/local/okMTWyI6/items/XCPSGBLN"],"itemData":{"id":65,"type":"article-journal","title":"Antibiotic resistance","container-title":"Medicine","page":"622-628","volume":"45","issue":"10","source":"ScienceDirect","abstract":"Antimicrobial resistance continues to increase while the pipeline for new antibiotic development is drying up; after only eight decades of antibiotic use, bacterial infections that once were easily treated are becoming untreatable. Antimicrobials have enabled the advancement of many areas of medical practice. The successful outcomes of many surgical procedures and immunosuppressive treatments depend on antibiotic prophylaxis and the ability to treat infective complications. Antibiotic resistance, therefore, poses a serious threat to much of healthcare as we know it. Areas of particular concern are multiresistant carbapenemase-producing Gram-negative organisms, gonorrhoea and multidrug-resistant tuberculosis. Antibiotic resistance correlates with antibiotic use, so that improved antimicrobial stewardship, with better prevention and diagnosis of infection, can help to conserve the currently available antimicrobial agents. Significant global action and investment, from both public and private sector funding, is required if the development of new anti-infectives is to keep pace with increasing resistance.","DOI":"10.1016/j.mpmed.2017.07.006","ISSN":"1357-3039","journalAbbreviation":"Medicine","author":[{"family":"MacGowan","given":"Alasdair"},{"family":"Macnaughton","given":"Emily"}],"issued":{"date-parts":[["2017",10,1]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(MacGowan dan Macnaughton, 2017)</w:t>
      </w:r>
      <w:r>
        <w:rPr>
          <w:rFonts w:ascii="Times New Roman" w:hAnsi="Times New Roman" w:cs="Times New Roman"/>
          <w:sz w:val="24"/>
          <w:szCs w:val="24"/>
        </w:rPr>
        <w:fldChar w:fldCharType="end"/>
      </w:r>
      <w:r>
        <w:rPr>
          <w:rFonts w:ascii="Times New Roman" w:hAnsi="Times New Roman" w:cs="Times New Roman"/>
          <w:sz w:val="24"/>
          <w:szCs w:val="24"/>
        </w:rPr>
        <w:t>.</w:t>
      </w:r>
      <w:r w:rsidR="00AF51B7">
        <w:rPr>
          <w:rFonts w:ascii="Times New Roman" w:hAnsi="Times New Roman" w:cs="Times New Roman"/>
          <w:sz w:val="24"/>
          <w:szCs w:val="24"/>
        </w:rPr>
        <w:t xml:space="preserve"> </w:t>
      </w:r>
      <w:r>
        <w:rPr>
          <w:rFonts w:ascii="Times New Roman" w:hAnsi="Times New Roman" w:cs="Times New Roman"/>
          <w:sz w:val="24"/>
          <w:szCs w:val="24"/>
        </w:rPr>
        <w:t xml:space="preserve">Infeksi saluran pernapasan akut (ISPA) adalah penyakit yang umum di masyarakat. Berdasarkan data dari Riset Kesehatan 2013, kejadian infeksi saluran pernapasan akut (ISPA) di Indonesia pada tahun 2013 adalah 25,0%. Antibiotik secara luas diresepkan untuk mengobati ISPA sehingga kemungkinan penggunaan obat tidak rasional lebih tinggi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{"citationID":"a1h4rrfag18","properties":{"formattedCitation":"(Tobat dkk., 2015)","plainCitation":"(Tobat dkk., 2015)","noteIndex":0},"citationItems":[{"id":55,"uris":["http://zotero.org/users/local/okMTWyI6/items/9WS25BIV"],"uri":["http://zotero.org/users/local/okMTWyI6/items/9WS25BIV"],"itemData":{"id":55,"type":"article-journal","title":"RASIONALITAS PENGGUNAAN ANTIBIOTIKA PADA PENYAKIT ISPA DI PUSKESMAS KUAMANG KUNING I KABUPATEN BUNGO","page":"5","volume":"5","issue":"2","source":"Zotero","abstract":"Infections of the respiratory tract is a common disease in the community. Based on data from the Health Research 2013, incidence of Acute Respiratory Infections (ARI) in Indonesia in 2013 was 25,0 %. Antibiotics are widely prescribed to treat ARI so that the possibility of irrational drugs use is higher. The purpose of this study was to determine the rationality of antibiotics usage in Kuamang Kuning I Health Center outpatient ARI. This study was done descriptively using retrospective data in year of 2013. Inclusion criteria for this study were outpatient at the Kuamang Kuning I Health Center outpatient ARI regency period 1 January to 31 December 2013 with an outpatient card that can provide clear and complete information. Patients who met the inclusion criteria were 300 patients. Results of the quantitative analysis showed that the most widely used antibiotics were beta-lactam groups of aminopenisilin namely amoxicyclin, and the rationality of antibiotics usage based on standards of Pharmaceutical Care for Respiratory Disease are 100% appropriate indication, 96,67% is appropriate drug selection, 86% is appropriate dose, 100% is appropriate route of administration.","language":"id","author":[{"family":"Tobat","given":"Sanubari Rela"},{"family":"Mukhtar","given":"M Husni"},{"family":"Pakpahan","given":"Ida Hot Duma"}],"issued":{"date-parts":[["2015"]]}}}],"schema":"https://github.com/citation-style-language/schema/raw/master/csl-citation.json"}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(Tobat dkk., 2015)</w:t>
      </w:r>
      <w:r>
        <w:rPr>
          <w:rFonts w:ascii="Times New Roman" w:hAnsi="Times New Roman" w:cs="Times New Roman"/>
          <w:sz w:val="24"/>
          <w:szCs w:val="24"/>
        </w:rPr>
        <w:fldChar w:fldCharType="end"/>
      </w:r>
      <w:r>
        <w:rPr>
          <w:rFonts w:ascii="Times New Roman" w:hAnsi="Times New Roman" w:cs="Times New Roman"/>
          <w:sz w:val="24"/>
          <w:szCs w:val="24"/>
        </w:rPr>
        <w:t xml:space="preserve">. Terdapat </w:t>
      </w:r>
      <w:r>
        <w:rPr>
          <w:rFonts w:ascii="Times New Roman" w:hAnsi="Times New Roman" w:cs="Times New Roman"/>
          <w:sz w:val="24"/>
          <w:szCs w:val="24"/>
        </w:rPr>
        <w:t xml:space="preserve">kekhawatiran mengenai pemberian antibiotik untuk infeksi saluran pernafasan (RTIs) karena reaksi yang merugikan, peningkatan biaya perawatan, dan resistensi antibakteri dapat terjadi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{"citationID":"a13hp5hhkpp","properties":{"formattedCitation":"(Spurling dkk., 2017)","plainCitation":"(Spurling dkk., 2017)","noteIndex":0},"citationItems":[{"id":58,"uris":["http://zotero.org/users/local/okMTWyI6/items/GR6NGMCE"],"uri":["http://zotero.org/users/local/okMTWyI6/items/GR6NGMCE"],"itemData":{"id":58,"type":"article-journal","title":"Delayed antibiotic prescriptions for respiratory infections","container-title":"The Cochrane Database of Systematic Reviews","page":"CD004417","volume":"9","source":"PubMed","abstract":"BACKGROUND: Concerns exist regarding antibiotic prescribing for respiratory tract infections (RTIs) owing to adverse reactions, cost, and antibacterial resistance. One proposed strategy to reduce antibiotic prescribing is to provide prescriptions, but to advise delay in antibiotic use with the expectation that symptoms will resolve first. This is an update of a Cochrane Review originally published in 2007, and updated in 2010 and 2013.\nOBJECTIVES: To evaluate the effects on clinical outcomes, antibiotic use, antibiotic resistance, and patient satisfaction of advising a delayed prescription of antibiotics in respiratory tract infections.\nSEARCH METHODS: For this 2017 update we searched the Cochrane Central Register of Controlled Trials (CENTRAL) (the Cochrane Library, Issue 4, 2017), which includes the Cochrane Acute Respiratory Infection Group's Specialised Register; Ovid MEDLINE (2013 to 25 May 2017); Ovid Embase (2013 to 2017 Week 21); EBSCO CINAHL Plus (1984 to 25 May 2017); Web of Science (2013 to 25 May 2017); WHO International Clinical Trials Registry Platform (1 September 2017); and ClinicalTrials.gov (1 September 2017).\nSELECTION CRITERIA: Randomised controlled trials involving participants of all ages defined as having an RTI, where delayed antibiotics were compared to immediate antibiotics or no antibiotics. We defined a delayed antibiotic as advice to delay the filling of an antibiotic prescription by at least 48 hours. We considered all RTIs regardless of whether antibiotics were recommended or not.\nDATA COLLECTION AND ANALYSIS: We used standard Cochrane methodological procedures. Three review authors independently extracted and collated data. We assessed the risk of bias of all included trials. We contacted trial authors to obtain missing information.\nMAIN RESULTS: For this 2017 update we added one new trial involving 405 participants with uncomplicated acute respiratory infection. Overall, this review included 11 studies with a total of 3555 participants. These 11 studies involved acute respiratory infections including acute otitis media (three studies), streptococcal pharyngitis (three studies), cough (two studies), sore throat (one study), common cold (one study), and a variety of RTIs (one study). Five studies involved only children, two only adults, and four included both adults and children. Six studies were conducted in a primary care setting, three in paediatric clinics, and two in emergency departments.Studies were well reported, and appeared to be of moderate quality. Randomisation was not adequately described in two trials. Four trials blinded the outcomes assessor, and three included blinding of participants and doctors. We conducted meta-analysis for antibiotic use and patient satisfaction.We found no differences among delayed, immediate, and no prescribed antibiotics for clinical outcomes in the three studies that recruited participants with cough. For the outcome of fever with sore throat, three of the five studies favoured immediate antibiotics, and two found no difference. For the outcome of pain related to sore throat, two studies favoured immediate antibiotics, and three found no difference. One study compared delayed antibiotics with no antibiotic for sore throat, and found no difference in clinical outcomes.Three studies included participants with acute otitis media. Of the two studies with an immediate antibiotic arm, one study found no difference for fever, and the other study favoured immediate antibiotics for pain and malaise severity on Day 3. One study including participants with acute otitis media compared delayed antibiotics with no antibiotics and found no difference for pain and fever on Day 3.Two studies recruited participants with common cold. Neither study found differences for clinical outcomes between delayed and immediate antibiotic groups. One study favoured delayed antibiotics over no antibiotics for pain, fever, and cough duration (moderate quality evidence for all clinical outcomes - GRADE assessment).There were either no differences for adverse effects or results favoured delayed antibiotics over immediate antibiotics (low quality evidence - to GRADE assessment) with no significant differences in complication rates. Delayed antibiotics resulted in a significant reduction in antibiotic use compared to immediate antibiotics prescription (odds ratio (OR) 0.04, 95% confidence interval (CI) 0.03 to 0.05). However, a delayed antibiotic was more likely to result in reported antibiotic use than no antibiotics (OR 2.55, 95% CI 1.59 to 4.08) (moderate quality evidence - GRADE assessment).Patient satisfaction favoured delayed over no antibiotics (OR 1.49, 95% CI 1.08 to 2.06). There was no significant difference in patient satisfaction between delayed antibiotics and immediate antibiotics (OR 0.65, 95% CI 0.39 to 1.10) (moderate quality evidence - GRADE assessment).None of the included studies evaluated antibiotic resistance.\nAUTHORS' CONCLUSIONS: For many clinical outcomes, there were no differences between prescribing strategies. Symptoms for acute otitis media and sore throat were modestly improved by immediate antibiotics compared with delayed antibiotics. There were no differences in complication rates. Delaying prescribing did not result in significantly different levels of patient satisfaction compared with immediate provision of antibiotics (86% versus 91%) (moderate quality evidence). However, delay was favoured over no antibiotics (87% versus 82%). Delayed antibiotics achieved lower rates of antibiotic use compared to immediate antibiotics (31% versus 93%) (moderate quality evidence). The strategy of no antibiotics further reduced antibiotic use compared to delaying prescription for antibiotics (14% versus 28%). Delayed antibiotics for people with acute respiratory infection reduced antibiotic use compared to immediate antibiotics, but was not shown to be different to no antibiotics in terms of symptom control and disease complications. Where clinicians feel it is safe not to prescribe antibiotics immediately for people with respiratory infections, no antibiotics with advice to return if symptoms do not resolve is likely to result in the least antibiotic use while maintaining similar patient satisfaction and clinical outcomes to delaying prescription of antibiotics. Where clinicians are not confident in using a no antibiotic strategy, a delayed antibiotics strategy may be an acceptable compromise in place of immediate prescribing to significantly reduce unnecessary antibiotic use for RTIs, and thereby reduce antibiotic resistance, while maintaining patient safety and satisfaction levels.Editorial note: As a living systematic review, this review is continually updated, incorporating relevant new evidence as it becomes available. Please refer to the Cochrane Database of Systematic Reviews for the current status of this review.","DOI":"10.1002/14651858.CD004417.pub5","ISSN":"1469-493X","note":"PMID: 28881007","journalAbbreviation":"Cochrane Database Syst Rev","language":"eng","author":[{"family":"Spurling","given":"Geoffrey Kp"},{"family":"Del Mar","given":"Chris B."},{"family":"Dooley","given":"Liz"},{"family":"Foxlee","given":"Ruth"},{"family":"Farley","given":"Rebecca"}],"issued":{"date-parts":[["2017"]],"season":"07"}}}],"schema":"https://github.com/citation-style-language/schema/raw/master/csl-citation.json"}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(Spurling dkk., 2017)</w:t>
      </w:r>
      <w:r>
        <w:rPr>
          <w:rFonts w:ascii="Times New Roman" w:hAnsi="Times New Roman" w:cs="Times New Roman"/>
          <w:sz w:val="24"/>
          <w:szCs w:val="24"/>
        </w:rPr>
        <w:fldChar w:fldCharType="end"/>
      </w:r>
      <w:r>
        <w:rPr>
          <w:rFonts w:ascii="Times New Roman" w:hAnsi="Times New Roman" w:cs="Times New Roman"/>
          <w:sz w:val="24"/>
          <w:szCs w:val="24"/>
        </w:rPr>
        <w:t>.</w:t>
      </w:r>
    </w:p>
    <w:p w14:paraId="3DAE0F41" w14:textId="51E1BC40" w:rsidR="0076199B" w:rsidRPr="00402F1C" w:rsidRDefault="00DE0B12" w:rsidP="0076199B">
      <w:pPr>
        <w:spacing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Pelaporan secara berkala dari pola kerentanan atau sensitivitas antimikroba perlu dilakukan untuk menilai tingkat sensitivitas lokal, yang membantu dalam memilih terapi antibiotik empirik, dan dalam memantau tren resistensi dari waktu ke waktu serta untuk menunjang pelaksanaan program pengendalian resistensi antimikroba (PPRA) di faislitas pelayanan kesehatan (Kemenkes RI, 2015). Antibiogram merupakan pelaporan pola mikroba yang memuat ringkasan periodik mengenai sensitivitas antibiotik dari isolat bakteri lokal yang dikeluarkan oleh laboratorium mikrobiologi klinik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ZOTERO_ITEM CSL_CITATION {"citationID":"1yZwMTh1","properties":{"formattedCitation":"(Joshi, 2010)","plainCitation":"(Joshi, 2010)","noteIndex":0},"citationItems":[{"id":76,"uris":["http://zotero.org/users/local/okMTWyI6/items/7WLT4M8T"],"uri":["http://zotero.org/users/local/okMTWyI6/items/7WLT4M8T"],"itemData":{"id":76,"type":"article-journal","title":"Hospital antibiogram: a necessity","container-title":"Indian Journal of Medical Microbiology","page":"277-280","volume":"28","issue":"4","source":"PubMed","abstract":"The hospital antibiogram is a periodic summary of antimicrobial susceptibilities of local bacterial isolates submitted to the hospital's clinical microbiology laboratory. Antibiograms are often used by clinicians to assess local susceptibility rates, as an aid in selecting empiric antibiotic therapy, and in monitoring resistance trends over time within an institution. Antibiograms can also used to compare susceptibility rates across institutions and track resistance trends. Some hospitals have adequate support from the computer department to be able to extract data from their reporting module. The WHONET software can be freely downloaded and used for analysis. Consensus guidelines have been developed by the Clinical and Laboratory Standards Institute (CLSI) to standardise methods used in constructing antibiograms. These guidelines can be incorporated into the WHONET software for analysis. Only the first isolate from the patient is to be included in the analysis. The analysis should be done on the basis of patient location and specimen type. The percentage susceptibility of the most frequently isolated bacteria should be presented in the antibiogram, preferably in a tabular form. The antibiogram must be printed or put up in the intranet for easy access to all clinicians. Antibiotic policy is one of the mandatory requirements for accreditation, and making an antibiogram is the first step before framing the antibiotic policy. The future of antibiograms would be the incorporation of patient related data to make information more reliable and for predicting outbreaks.","DOI":"10.4103/0255-0857.71802","ISSN":"1998-3646","note":"PMID: 20966554","shortTitle":"Hospital antibiogram","journalAbbreviation":"Indian J Med Microbiol","language":"eng","author":[{"family":"Joshi","given":"S."}],"issued":{"date-parts":[["2010",12]]}}}],"schema":"https://github.com/citation-style-language/schema/raw/master/csl-citation.json"}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sz w:val="24"/>
          <w:szCs w:val="24"/>
        </w:rPr>
        <w:t>(Joshi, 2010)</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sidR="00AF51B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Telah banyak penelitian mengenai kejadian resistensi antibiotik terhadap mikroba di rumah sakit beserta gambaran antibiogramnya, namun resistensi dalam pengobatan antibiotik di komunitas tepatnya di puskesmas belum pernah dipetakan. Mengacu pada pengendalian penggunaan </w:t>
      </w:r>
      <w:r>
        <w:rPr>
          <w:rFonts w:ascii="Times New Roman" w:hAnsi="Times New Roman" w:cs="Times New Roman"/>
          <w:color w:val="000000"/>
          <w:sz w:val="24"/>
          <w:szCs w:val="24"/>
        </w:rPr>
        <w:lastRenderedPageBreak/>
        <w:t xml:space="preserve">antibiotik, maka perlu dilakukan evaluasi penggunaan antibiotik pada pasien dengan penyakit ISPA di komunitas. Penelitian ini dilakukan di Puskesmas Jetis Yogyakarta untuk melihat pola </w:t>
      </w:r>
      <w:r w:rsidR="0076199B">
        <w:rPr>
          <w:rFonts w:ascii="Times New Roman" w:hAnsi="Times New Roman" w:cs="Times New Roman"/>
          <w:color w:val="000000"/>
          <w:sz w:val="24"/>
          <w:szCs w:val="24"/>
        </w:rPr>
        <w:t xml:space="preserve">penggunaan antibiotik empiris yang digunakan dalam terapi ISPA karena perubahan pola resistensi antibiotik </w:t>
      </w:r>
      <w:r w:rsidR="0076199B">
        <w:rPr>
          <w:rFonts w:ascii="Times New Roman" w:hAnsi="Times New Roman" w:cs="Times New Roman"/>
          <w:color w:val="000000"/>
          <w:sz w:val="24"/>
          <w:szCs w:val="24"/>
        </w:rPr>
        <w:t xml:space="preserve">yang cepat. Di harapkan dengan data tersebut dapat memberikan informasi bagi klinisi dan farmasis serta tenaga kesehatan lainnya untuk menjalankan terapi dengan optimal, sehingga dapat bermanfaat untuk pengembangan di bidang kesehatan dan tercapai pelayanan kesehatan yang aman </w:t>
      </w:r>
      <w:r w:rsidR="0076199B" w:rsidRPr="00402F1C">
        <w:rPr>
          <w:rFonts w:ascii="Times New Roman" w:hAnsi="Times New Roman" w:cs="Times New Roman"/>
          <w:color w:val="000000"/>
          <w:sz w:val="24"/>
          <w:szCs w:val="24"/>
        </w:rPr>
        <w:t>dan bermutu.</w:t>
      </w:r>
    </w:p>
    <w:p w14:paraId="7B995308" w14:textId="3E903780" w:rsidR="0076199B" w:rsidRDefault="0076199B" w:rsidP="00A078BD">
      <w:pPr>
        <w:spacing w:line="240" w:lineRule="auto"/>
        <w:ind w:firstLine="720"/>
        <w:jc w:val="both"/>
        <w:rPr>
          <w:rFonts w:ascii="Times New Roman" w:hAnsi="Times New Roman" w:cs="Times New Roman"/>
          <w:color w:val="000000"/>
          <w:sz w:val="24"/>
          <w:szCs w:val="24"/>
        </w:rPr>
        <w:sectPr w:rsidR="0076199B" w:rsidSect="0076199B">
          <w:type w:val="continuous"/>
          <w:pgSz w:w="11907" w:h="16839" w:code="9"/>
          <w:pgMar w:top="1440" w:right="1440" w:bottom="1440" w:left="1440" w:header="720" w:footer="720" w:gutter="0"/>
          <w:cols w:num="2" w:space="283"/>
          <w:docGrid w:linePitch="360"/>
        </w:sectPr>
      </w:pPr>
    </w:p>
    <w:p w14:paraId="431D02A5" w14:textId="6416F3D4" w:rsidR="006B3EC4" w:rsidRPr="00402F1C" w:rsidRDefault="006B3EC4" w:rsidP="006B3EC4">
      <w:pPr>
        <w:spacing w:line="240" w:lineRule="auto"/>
        <w:jc w:val="both"/>
        <w:rPr>
          <w:rFonts w:ascii="Times New Roman" w:hAnsi="Times New Roman" w:cs="Times New Roman"/>
          <w:b/>
          <w:sz w:val="24"/>
          <w:szCs w:val="24"/>
        </w:rPr>
      </w:pPr>
      <w:r w:rsidRPr="00402F1C">
        <w:rPr>
          <w:rFonts w:ascii="Times New Roman" w:hAnsi="Times New Roman" w:cs="Times New Roman"/>
          <w:b/>
          <w:sz w:val="24"/>
          <w:szCs w:val="24"/>
        </w:rPr>
        <w:t>METODOLOGI</w:t>
      </w:r>
    </w:p>
    <w:p w14:paraId="6A912BCC" w14:textId="77777777" w:rsidR="0076199B" w:rsidRDefault="0076199B" w:rsidP="006B3EC4">
      <w:pPr>
        <w:spacing w:line="240" w:lineRule="auto"/>
        <w:jc w:val="both"/>
        <w:rPr>
          <w:rFonts w:ascii="Times New Roman" w:hAnsi="Times New Roman" w:cs="Times New Roman"/>
          <w:b/>
          <w:sz w:val="24"/>
          <w:szCs w:val="24"/>
        </w:rPr>
        <w:sectPr w:rsidR="0076199B" w:rsidSect="0076199B">
          <w:type w:val="continuous"/>
          <w:pgSz w:w="11907" w:h="16839" w:code="9"/>
          <w:pgMar w:top="1440" w:right="1440" w:bottom="1440" w:left="1440" w:header="720" w:footer="720" w:gutter="0"/>
          <w:cols w:space="720"/>
          <w:docGrid w:linePitch="360"/>
        </w:sectPr>
      </w:pPr>
    </w:p>
    <w:p w14:paraId="5F95015A" w14:textId="598BFDB7" w:rsidR="006B3EC4" w:rsidRPr="00402F1C" w:rsidRDefault="006B3EC4" w:rsidP="0076199B">
      <w:pPr>
        <w:spacing w:after="0" w:line="240" w:lineRule="auto"/>
        <w:jc w:val="both"/>
        <w:rPr>
          <w:rFonts w:ascii="Times New Roman" w:hAnsi="Times New Roman" w:cs="Times New Roman"/>
          <w:b/>
          <w:sz w:val="24"/>
          <w:szCs w:val="24"/>
        </w:rPr>
      </w:pPr>
      <w:r w:rsidRPr="00402F1C">
        <w:rPr>
          <w:rFonts w:ascii="Times New Roman" w:hAnsi="Times New Roman" w:cs="Times New Roman"/>
          <w:b/>
          <w:sz w:val="24"/>
          <w:szCs w:val="24"/>
        </w:rPr>
        <w:t>Rancangan Penelitian</w:t>
      </w:r>
    </w:p>
    <w:p w14:paraId="6F517738" w14:textId="22956C4E" w:rsidR="006B3EC4" w:rsidRDefault="006B3EC4" w:rsidP="007619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merupakan penelitian observasional yang dilakukan dengan rancangan studi deskriptif-analitik dengan desain </w:t>
      </w:r>
      <w:r>
        <w:rPr>
          <w:rFonts w:ascii="Times New Roman" w:hAnsi="Times New Roman" w:cs="Times New Roman"/>
          <w:i/>
          <w:sz w:val="24"/>
          <w:szCs w:val="24"/>
        </w:rPr>
        <w:t>cohort</w:t>
      </w:r>
      <w:r>
        <w:rPr>
          <w:rFonts w:ascii="Times New Roman" w:hAnsi="Times New Roman" w:cs="Times New Roman"/>
          <w:sz w:val="24"/>
          <w:szCs w:val="24"/>
        </w:rPr>
        <w:t xml:space="preserve"> melalui penelusuran data secara prospektif untuk mengevaluasi penggunaan antibiotik empiris terhadap </w:t>
      </w:r>
      <w:r>
        <w:rPr>
          <w:rFonts w:ascii="Times New Roman" w:hAnsi="Times New Roman" w:cs="Times New Roman"/>
          <w:i/>
          <w:sz w:val="24"/>
          <w:szCs w:val="24"/>
        </w:rPr>
        <w:t>outcome</w:t>
      </w:r>
      <w:r>
        <w:rPr>
          <w:rFonts w:ascii="Times New Roman" w:hAnsi="Times New Roman" w:cs="Times New Roman"/>
          <w:sz w:val="24"/>
          <w:szCs w:val="24"/>
        </w:rPr>
        <w:t xml:space="preserve"> klinik dan gambaran antibiogramnya pada pasien ISPA di Puskesmas </w:t>
      </w:r>
      <w:r>
        <w:rPr>
          <w:rFonts w:ascii="Times New Roman" w:hAnsi="Times New Roman" w:cs="Times New Roman"/>
          <w:color w:val="000000"/>
          <w:sz w:val="24"/>
          <w:szCs w:val="24"/>
        </w:rPr>
        <w:t>Jetis</w:t>
      </w:r>
      <w:r>
        <w:rPr>
          <w:rFonts w:ascii="Times New Roman" w:hAnsi="Times New Roman" w:cs="Times New Roman"/>
          <w:sz w:val="24"/>
          <w:szCs w:val="24"/>
        </w:rPr>
        <w:t xml:space="preserve"> Yogyakarta. Penelitian dilakukan di Puskesmas </w:t>
      </w:r>
      <w:r>
        <w:rPr>
          <w:rFonts w:ascii="Times New Roman" w:hAnsi="Times New Roman" w:cs="Times New Roman"/>
          <w:color w:val="000000"/>
          <w:sz w:val="24"/>
          <w:szCs w:val="24"/>
        </w:rPr>
        <w:t>Jetis</w:t>
      </w:r>
      <w:r>
        <w:rPr>
          <w:rFonts w:ascii="Times New Roman" w:hAnsi="Times New Roman" w:cs="Times New Roman"/>
          <w:sz w:val="24"/>
          <w:szCs w:val="24"/>
        </w:rPr>
        <w:t xml:space="preserve"> Yogyakarta pada bulan Maret-April 2019.</w:t>
      </w:r>
    </w:p>
    <w:p w14:paraId="5968C247" w14:textId="77777777" w:rsidR="0076199B" w:rsidRDefault="0076199B" w:rsidP="0076199B">
      <w:pPr>
        <w:spacing w:after="0" w:line="240" w:lineRule="auto"/>
        <w:jc w:val="both"/>
        <w:rPr>
          <w:rFonts w:ascii="Times New Roman" w:hAnsi="Times New Roman" w:cs="Times New Roman"/>
          <w:sz w:val="24"/>
          <w:szCs w:val="24"/>
        </w:rPr>
      </w:pPr>
    </w:p>
    <w:p w14:paraId="34325080" w14:textId="6BF61DF8" w:rsidR="006B3EC4" w:rsidRPr="006B3EC4" w:rsidRDefault="006B3EC4" w:rsidP="0076199B">
      <w:pPr>
        <w:spacing w:after="0" w:line="240" w:lineRule="auto"/>
        <w:jc w:val="both"/>
        <w:rPr>
          <w:b/>
        </w:rPr>
      </w:pPr>
      <w:r w:rsidRPr="006B3EC4">
        <w:rPr>
          <w:rFonts w:ascii="Times New Roman" w:hAnsi="Times New Roman" w:cs="Times New Roman"/>
          <w:b/>
          <w:sz w:val="24"/>
          <w:szCs w:val="24"/>
        </w:rPr>
        <w:t>Subyek penelitian</w:t>
      </w:r>
    </w:p>
    <w:p w14:paraId="08552995" w14:textId="172BC216" w:rsidR="006B3EC4" w:rsidRDefault="006B3EC4" w:rsidP="007619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Subyek penelitian adalah semua pasien anak maupun dewasa yang terdiagnosis ISPA di Puskesmas </w:t>
      </w:r>
      <w:r>
        <w:rPr>
          <w:rFonts w:ascii="Times New Roman" w:hAnsi="Times New Roman" w:cs="Times New Roman"/>
          <w:color w:val="000000"/>
          <w:sz w:val="24"/>
          <w:szCs w:val="24"/>
        </w:rPr>
        <w:t>Jetis</w:t>
      </w:r>
      <w:r>
        <w:rPr>
          <w:rFonts w:ascii="Times New Roman" w:hAnsi="Times New Roman" w:cs="Times New Roman"/>
          <w:sz w:val="24"/>
          <w:szCs w:val="24"/>
        </w:rPr>
        <w:t xml:space="preserve"> Yogyakarta. Kriteria inklusi subyek penelitian adalah pasien dengan usia anak maupun dewasa dengan diagnosis ISPA oleh dokter yang menjalani rawat jalan di Puskesmas </w:t>
      </w:r>
      <w:r>
        <w:rPr>
          <w:rFonts w:ascii="Times New Roman" w:hAnsi="Times New Roman" w:cs="Times New Roman"/>
          <w:color w:val="000000"/>
          <w:sz w:val="24"/>
          <w:szCs w:val="24"/>
        </w:rPr>
        <w:t>Jetis</w:t>
      </w:r>
      <w:r>
        <w:rPr>
          <w:rFonts w:ascii="Times New Roman" w:hAnsi="Times New Roman" w:cs="Times New Roman"/>
          <w:sz w:val="24"/>
          <w:szCs w:val="24"/>
        </w:rPr>
        <w:t xml:space="preserve"> Yogyakarta, pasien yang mendapatkan antibiotik empiris, pasien yang bersedia diambil sampel swab tenggorokkan </w:t>
      </w:r>
      <w:r w:rsidR="0078050C">
        <w:rPr>
          <w:rFonts w:ascii="Times New Roman" w:hAnsi="Times New Roman" w:cs="Times New Roman"/>
          <w:sz w:val="24"/>
          <w:szCs w:val="24"/>
        </w:rPr>
        <w:t>atau</w:t>
      </w:r>
      <w:r>
        <w:rPr>
          <w:rFonts w:ascii="Times New Roman" w:hAnsi="Times New Roman" w:cs="Times New Roman"/>
          <w:sz w:val="24"/>
          <w:szCs w:val="24"/>
        </w:rPr>
        <w:t xml:space="preserve"> sputum untuk uji kultur dan sensitivitas.</w:t>
      </w:r>
    </w:p>
    <w:p w14:paraId="795E2988" w14:textId="77777777" w:rsidR="0076199B" w:rsidRDefault="0076199B" w:rsidP="0076199B">
      <w:pPr>
        <w:spacing w:after="0" w:line="240" w:lineRule="auto"/>
        <w:jc w:val="both"/>
        <w:rPr>
          <w:rFonts w:ascii="Times New Roman" w:hAnsi="Times New Roman" w:cs="Times New Roman"/>
          <w:b/>
          <w:sz w:val="24"/>
          <w:szCs w:val="24"/>
        </w:rPr>
      </w:pPr>
    </w:p>
    <w:p w14:paraId="10C0B94B" w14:textId="1101491A" w:rsidR="00250F25" w:rsidRPr="0078050C" w:rsidRDefault="00250F25" w:rsidP="0076199B">
      <w:pPr>
        <w:spacing w:after="0" w:line="240" w:lineRule="auto"/>
        <w:jc w:val="both"/>
        <w:rPr>
          <w:rFonts w:ascii="Times New Roman" w:hAnsi="Times New Roman" w:cs="Times New Roman"/>
          <w:b/>
          <w:sz w:val="24"/>
          <w:szCs w:val="24"/>
        </w:rPr>
      </w:pPr>
      <w:r w:rsidRPr="0078050C">
        <w:rPr>
          <w:rFonts w:ascii="Times New Roman" w:hAnsi="Times New Roman" w:cs="Times New Roman"/>
          <w:b/>
          <w:sz w:val="24"/>
          <w:szCs w:val="24"/>
        </w:rPr>
        <w:t>Pengambilan Data</w:t>
      </w:r>
    </w:p>
    <w:p w14:paraId="53112D06" w14:textId="2C6C445D" w:rsidR="00250F25" w:rsidRDefault="00681B9A" w:rsidP="0076199B">
      <w:pPr>
        <w:spacing w:after="0" w:line="240" w:lineRule="auto"/>
        <w:jc w:val="both"/>
        <w:rPr>
          <w:rFonts w:ascii="Times New Roman" w:hAnsi="Times New Roman" w:cs="Times New Roman"/>
          <w:sz w:val="24"/>
        </w:rPr>
      </w:pPr>
      <w:r>
        <w:rPr>
          <w:rFonts w:ascii="Times New Roman" w:hAnsi="Times New Roman" w:cs="Times New Roman"/>
          <w:sz w:val="24"/>
          <w:szCs w:val="24"/>
        </w:rPr>
        <w:t>Pengambilan data dilakukan dengan wawancara langsung dengan s</w:t>
      </w:r>
      <w:r w:rsidR="00250F25" w:rsidRPr="00250F25">
        <w:rPr>
          <w:rFonts w:ascii="Times New Roman" w:hAnsi="Times New Roman" w:cs="Times New Roman"/>
          <w:sz w:val="24"/>
          <w:szCs w:val="24"/>
        </w:rPr>
        <w:t>ubyek penelitian yang memenuhi kriteria inklusi.</w:t>
      </w:r>
      <w:r>
        <w:rPr>
          <w:rFonts w:ascii="Times New Roman" w:hAnsi="Times New Roman" w:cs="Times New Roman"/>
          <w:sz w:val="24"/>
          <w:szCs w:val="24"/>
        </w:rPr>
        <w:t xml:space="preserve"> </w:t>
      </w:r>
      <w:r w:rsidR="00250F25" w:rsidRPr="00250F25">
        <w:rPr>
          <w:rFonts w:ascii="Times New Roman" w:hAnsi="Times New Roman" w:cs="Times New Roman"/>
          <w:sz w:val="24"/>
          <w:szCs w:val="24"/>
        </w:rPr>
        <w:t>Pasien diambil spesimennya dengan cara swab tenggorokan</w:t>
      </w:r>
      <w:r>
        <w:rPr>
          <w:rFonts w:ascii="Times New Roman" w:hAnsi="Times New Roman" w:cs="Times New Roman"/>
          <w:sz w:val="24"/>
          <w:szCs w:val="24"/>
        </w:rPr>
        <w:t xml:space="preserve"> atau sputum</w:t>
      </w:r>
      <w:r w:rsidR="00250F25" w:rsidRPr="00250F25">
        <w:rPr>
          <w:rFonts w:ascii="Times New Roman" w:hAnsi="Times New Roman" w:cs="Times New Roman"/>
          <w:sz w:val="24"/>
          <w:szCs w:val="24"/>
        </w:rPr>
        <w:t xml:space="preserve">, </w:t>
      </w:r>
      <w:r>
        <w:rPr>
          <w:rFonts w:ascii="Times New Roman" w:hAnsi="Times New Roman" w:cs="Times New Roman"/>
          <w:sz w:val="24"/>
          <w:szCs w:val="24"/>
        </w:rPr>
        <w:t>dan d</w:t>
      </w:r>
      <w:r w:rsidR="00250F25">
        <w:rPr>
          <w:rFonts w:ascii="Times New Roman" w:hAnsi="Times New Roman" w:cs="Times New Roman"/>
          <w:sz w:val="24"/>
          <w:szCs w:val="24"/>
        </w:rPr>
        <w:t>ilakukan uji kultur sensitivitas antimikroba dan menghitung zona hambat yang terbentuk.</w:t>
      </w:r>
      <w:r>
        <w:rPr>
          <w:rFonts w:ascii="Times New Roman" w:hAnsi="Times New Roman" w:cs="Times New Roman"/>
          <w:sz w:val="24"/>
          <w:szCs w:val="24"/>
        </w:rPr>
        <w:t xml:space="preserve"> </w:t>
      </w:r>
      <w:r w:rsidRPr="00250F25">
        <w:rPr>
          <w:rFonts w:ascii="Times New Roman" w:hAnsi="Times New Roman" w:cs="Times New Roman"/>
          <w:sz w:val="24"/>
        </w:rPr>
        <w:t>K</w:t>
      </w:r>
      <w:r w:rsidR="00250F25" w:rsidRPr="00250F25">
        <w:rPr>
          <w:rFonts w:ascii="Times New Roman" w:hAnsi="Times New Roman" w:cs="Times New Roman"/>
          <w:sz w:val="24"/>
        </w:rPr>
        <w:t>esesuaian antibiotik disesuaikan terhadap pedoman puskesmas serta uji kultur bakteri dan sensitivitas antibiotik.</w:t>
      </w:r>
      <w:r>
        <w:rPr>
          <w:rFonts w:ascii="Times New Roman" w:hAnsi="Times New Roman" w:cs="Times New Roman"/>
          <w:sz w:val="28"/>
          <w:szCs w:val="24"/>
        </w:rPr>
        <w:t xml:space="preserve"> </w:t>
      </w:r>
      <w:r w:rsidR="00250F25" w:rsidRPr="00250F25">
        <w:rPr>
          <w:rFonts w:ascii="Times New Roman" w:hAnsi="Times New Roman" w:cs="Times New Roman"/>
          <w:sz w:val="24"/>
        </w:rPr>
        <w:t xml:space="preserve">Penyusunan antibiogram didasarkan pada hasil uji kultur bakteri dan sensitivitas </w:t>
      </w:r>
      <w:r>
        <w:rPr>
          <w:rFonts w:ascii="Times New Roman" w:hAnsi="Times New Roman" w:cs="Times New Roman"/>
          <w:sz w:val="24"/>
        </w:rPr>
        <w:t>antibioti</w:t>
      </w:r>
      <w:r w:rsidR="001F28B8">
        <w:rPr>
          <w:rFonts w:ascii="Times New Roman" w:hAnsi="Times New Roman" w:cs="Times New Roman"/>
          <w:sz w:val="24"/>
        </w:rPr>
        <w:t>k</w:t>
      </w:r>
      <w:r>
        <w:rPr>
          <w:rFonts w:ascii="Times New Roman" w:hAnsi="Times New Roman" w:cs="Times New Roman"/>
          <w:sz w:val="24"/>
        </w:rPr>
        <w:t>.</w:t>
      </w:r>
    </w:p>
    <w:p w14:paraId="5087644C" w14:textId="77777777" w:rsidR="0076199B" w:rsidRPr="00681B9A" w:rsidRDefault="0076199B" w:rsidP="0076199B">
      <w:pPr>
        <w:spacing w:after="0" w:line="240" w:lineRule="auto"/>
        <w:jc w:val="both"/>
        <w:rPr>
          <w:rFonts w:ascii="Times New Roman" w:hAnsi="Times New Roman" w:cs="Times New Roman"/>
          <w:sz w:val="24"/>
          <w:szCs w:val="24"/>
        </w:rPr>
      </w:pPr>
    </w:p>
    <w:p w14:paraId="08EC599B" w14:textId="77777777" w:rsidR="00250F25" w:rsidRPr="00250F25" w:rsidRDefault="00250F25" w:rsidP="0076199B">
      <w:pPr>
        <w:spacing w:after="0" w:line="240" w:lineRule="auto"/>
        <w:jc w:val="both"/>
        <w:rPr>
          <w:rFonts w:ascii="Times New Roman" w:hAnsi="Times New Roman" w:cs="Times New Roman"/>
          <w:b/>
          <w:sz w:val="24"/>
        </w:rPr>
      </w:pPr>
      <w:r w:rsidRPr="00250F25">
        <w:rPr>
          <w:rFonts w:ascii="Times New Roman" w:hAnsi="Times New Roman" w:cs="Times New Roman"/>
          <w:b/>
          <w:sz w:val="24"/>
        </w:rPr>
        <w:t>Analisa Data</w:t>
      </w:r>
    </w:p>
    <w:p w14:paraId="42E9DC0C" w14:textId="450ED5CB" w:rsidR="00250F25" w:rsidRDefault="00250F25" w:rsidP="0076199B">
      <w:pPr>
        <w:spacing w:after="0" w:line="240" w:lineRule="auto"/>
        <w:jc w:val="both"/>
        <w:rPr>
          <w:rFonts w:ascii="Times New Roman" w:hAnsi="Times New Roman" w:cs="Times New Roman"/>
          <w:sz w:val="24"/>
        </w:rPr>
      </w:pPr>
      <w:r w:rsidRPr="00250F25">
        <w:rPr>
          <w:rFonts w:ascii="Times New Roman" w:hAnsi="Times New Roman" w:cs="Times New Roman"/>
          <w:sz w:val="24"/>
          <w:szCs w:val="24"/>
        </w:rPr>
        <w:t xml:space="preserve">Analisa data dilakukan secara deskriptif meliputi karakteristik pasien, </w:t>
      </w:r>
      <w:r w:rsidRPr="00250F25">
        <w:rPr>
          <w:rFonts w:ascii="Times New Roman" w:hAnsi="Times New Roman" w:cs="Times New Roman"/>
          <w:i/>
          <w:sz w:val="24"/>
          <w:szCs w:val="24"/>
        </w:rPr>
        <w:t>outcome</w:t>
      </w:r>
      <w:r w:rsidRPr="00250F25">
        <w:rPr>
          <w:rFonts w:ascii="Times New Roman" w:hAnsi="Times New Roman" w:cs="Times New Roman"/>
          <w:sz w:val="24"/>
          <w:szCs w:val="24"/>
        </w:rPr>
        <w:t xml:space="preserve"> klinik </w:t>
      </w:r>
      <w:r w:rsidRPr="00250F25">
        <w:rPr>
          <w:rFonts w:ascii="Times New Roman" w:hAnsi="Times New Roman" w:cs="Times New Roman"/>
          <w:sz w:val="24"/>
          <w:szCs w:val="24"/>
        </w:rPr>
        <w:t>dan profil pola resistensi yang disajikan dalam bentuk persentase.</w:t>
      </w:r>
      <w:r w:rsidR="005327B8">
        <w:rPr>
          <w:rFonts w:ascii="Times New Roman" w:hAnsi="Times New Roman" w:cs="Times New Roman"/>
          <w:sz w:val="24"/>
          <w:szCs w:val="24"/>
        </w:rPr>
        <w:t xml:space="preserve"> </w:t>
      </w:r>
      <w:r w:rsidRPr="00250F25">
        <w:rPr>
          <w:rFonts w:ascii="Times New Roman" w:hAnsi="Times New Roman" w:cs="Times New Roman"/>
          <w:sz w:val="24"/>
          <w:szCs w:val="24"/>
        </w:rPr>
        <w:t xml:space="preserve">Kesesuaian antibiotik empiris terhadap </w:t>
      </w:r>
      <w:r w:rsidRPr="00250F25">
        <w:rPr>
          <w:rFonts w:ascii="Times New Roman" w:hAnsi="Times New Roman" w:cs="Times New Roman"/>
          <w:i/>
          <w:sz w:val="24"/>
          <w:szCs w:val="24"/>
        </w:rPr>
        <w:t>outcome</w:t>
      </w:r>
      <w:r w:rsidRPr="00250F25">
        <w:rPr>
          <w:rFonts w:ascii="Times New Roman" w:hAnsi="Times New Roman" w:cs="Times New Roman"/>
          <w:sz w:val="24"/>
          <w:szCs w:val="24"/>
        </w:rPr>
        <w:t xml:space="preserve"> klinik serta variabel perancu diuji menggunakan analisis statistik bivariat</w:t>
      </w:r>
      <w:r w:rsidR="005327B8">
        <w:rPr>
          <w:rFonts w:ascii="Times New Roman" w:hAnsi="Times New Roman" w:cs="Times New Roman"/>
          <w:sz w:val="24"/>
          <w:szCs w:val="24"/>
        </w:rPr>
        <w:t xml:space="preserve"> (</w:t>
      </w:r>
      <w:r w:rsidRPr="00250F25">
        <w:rPr>
          <w:rFonts w:ascii="Times New Roman" w:hAnsi="Times New Roman" w:cs="Times New Roman"/>
          <w:sz w:val="24"/>
          <w:szCs w:val="24"/>
        </w:rPr>
        <w:t xml:space="preserve">uji </w:t>
      </w:r>
      <w:r w:rsidRPr="00250F25">
        <w:rPr>
          <w:rFonts w:ascii="Times New Roman" w:hAnsi="Times New Roman" w:cs="Times New Roman"/>
          <w:i/>
          <w:sz w:val="24"/>
          <w:szCs w:val="24"/>
        </w:rPr>
        <w:t>Chi-Square</w:t>
      </w:r>
      <w:r w:rsidR="005327B8">
        <w:rPr>
          <w:rFonts w:ascii="Times New Roman" w:hAnsi="Times New Roman" w:cs="Times New Roman"/>
          <w:sz w:val="24"/>
          <w:szCs w:val="24"/>
        </w:rPr>
        <w:t>)</w:t>
      </w:r>
      <w:r w:rsidRPr="00250F25">
        <w:rPr>
          <w:rFonts w:ascii="Times New Roman" w:hAnsi="Times New Roman" w:cs="Times New Roman"/>
          <w:sz w:val="24"/>
          <w:szCs w:val="24"/>
        </w:rPr>
        <w:t>.</w:t>
      </w:r>
      <w:r>
        <w:rPr>
          <w:rFonts w:ascii="Times New Roman" w:hAnsi="Times New Roman" w:cs="Times New Roman"/>
          <w:sz w:val="24"/>
        </w:rPr>
        <w:t xml:space="preserve"> </w:t>
      </w:r>
    </w:p>
    <w:p w14:paraId="652CA89B" w14:textId="77777777" w:rsidR="0076199B" w:rsidRDefault="0076199B" w:rsidP="0076199B">
      <w:pPr>
        <w:spacing w:after="0" w:line="240" w:lineRule="auto"/>
        <w:jc w:val="both"/>
        <w:rPr>
          <w:rFonts w:ascii="Times New Roman" w:hAnsi="Times New Roman" w:cs="Times New Roman"/>
          <w:sz w:val="24"/>
        </w:rPr>
      </w:pPr>
    </w:p>
    <w:p w14:paraId="3DF77A4A" w14:textId="4B4524A7" w:rsidR="00BA0970" w:rsidRDefault="00BA0970" w:rsidP="0076199B">
      <w:pPr>
        <w:spacing w:after="0" w:line="240" w:lineRule="auto"/>
        <w:jc w:val="both"/>
        <w:rPr>
          <w:rFonts w:ascii="Times New Roman" w:hAnsi="Times New Roman" w:cs="Times New Roman"/>
          <w:b/>
          <w:sz w:val="24"/>
        </w:rPr>
      </w:pPr>
      <w:r w:rsidRPr="00402F1C">
        <w:rPr>
          <w:rFonts w:ascii="Times New Roman" w:hAnsi="Times New Roman" w:cs="Times New Roman"/>
          <w:b/>
          <w:sz w:val="24"/>
        </w:rPr>
        <w:t>HASIL DAN PEMBAHASAN</w:t>
      </w:r>
    </w:p>
    <w:p w14:paraId="44C56459" w14:textId="5C4C203B" w:rsidR="0076199B" w:rsidRDefault="001F28B8" w:rsidP="0076199B">
      <w:pPr>
        <w:spacing w:line="240" w:lineRule="auto"/>
        <w:jc w:val="both"/>
        <w:rPr>
          <w:rFonts w:ascii="Times New Roman" w:hAnsi="Times New Roman" w:cs="Times New Roman"/>
          <w:sz w:val="24"/>
        </w:rPr>
      </w:pPr>
      <w:r w:rsidRPr="001F28B8">
        <w:rPr>
          <w:rFonts w:ascii="Times New Roman" w:hAnsi="Times New Roman" w:cs="Times New Roman"/>
          <w:sz w:val="24"/>
        </w:rPr>
        <w:t xml:space="preserve">Penelitian </w:t>
      </w:r>
      <w:r>
        <w:rPr>
          <w:rFonts w:ascii="Times New Roman" w:hAnsi="Times New Roman" w:cs="Times New Roman"/>
          <w:sz w:val="24"/>
        </w:rPr>
        <w:t>yang</w:t>
      </w:r>
      <w:r w:rsidRPr="001F28B8">
        <w:rPr>
          <w:rFonts w:ascii="Times New Roman" w:hAnsi="Times New Roman" w:cs="Times New Roman"/>
          <w:sz w:val="24"/>
        </w:rPr>
        <w:t xml:space="preserve"> dilakukan di Puskesmas Jetis Yogyakarta pada periode bulan April-Agustus 2019</w:t>
      </w:r>
      <w:r>
        <w:rPr>
          <w:rFonts w:ascii="Times New Roman" w:hAnsi="Times New Roman" w:cs="Times New Roman"/>
          <w:sz w:val="24"/>
        </w:rPr>
        <w:t xml:space="preserve"> memperoleh data s</w:t>
      </w:r>
      <w:r w:rsidRPr="001F28B8">
        <w:rPr>
          <w:rFonts w:ascii="Times New Roman" w:hAnsi="Times New Roman" w:cs="Times New Roman"/>
          <w:sz w:val="24"/>
        </w:rPr>
        <w:t>ebanyak 44 pasien yang didiagnosa ISPA</w:t>
      </w:r>
      <w:r w:rsidR="00E94669">
        <w:rPr>
          <w:rFonts w:ascii="Times New Roman" w:hAnsi="Times New Roman" w:cs="Times New Roman"/>
          <w:sz w:val="24"/>
        </w:rPr>
        <w:t>.</w:t>
      </w:r>
      <w:r w:rsidR="00C52AC1">
        <w:rPr>
          <w:rFonts w:ascii="Times New Roman" w:hAnsi="Times New Roman" w:cs="Times New Roman"/>
          <w:sz w:val="24"/>
        </w:rPr>
        <w:t xml:space="preserve"> </w:t>
      </w:r>
      <w:r w:rsidR="00C52AC1">
        <w:rPr>
          <w:rFonts w:ascii="Times New Roman" w:hAnsi="Times New Roman" w:cs="Times New Roman"/>
          <w:sz w:val="24"/>
          <w:szCs w:val="24"/>
        </w:rPr>
        <w:t>Terdapat 43 pasien yang yang masuk dalam kriteria inklusi dan terdapat 1 pasien yang masuk dalam kriteria eksklusi karena pasien memiliki riwayat TB (</w:t>
      </w:r>
      <w:r w:rsidR="00C52AC1">
        <w:rPr>
          <w:rFonts w:ascii="Times New Roman" w:hAnsi="Times New Roman" w:cs="Times New Roman"/>
          <w:i/>
          <w:sz w:val="24"/>
          <w:szCs w:val="24"/>
        </w:rPr>
        <w:t>immunocompromised</w:t>
      </w:r>
      <w:r w:rsidR="00C52AC1">
        <w:rPr>
          <w:rFonts w:ascii="Times New Roman" w:hAnsi="Times New Roman" w:cs="Times New Roman"/>
          <w:sz w:val="24"/>
          <w:szCs w:val="24"/>
        </w:rPr>
        <w:t xml:space="preserve">). </w:t>
      </w:r>
      <w:r w:rsidR="00E94669">
        <w:rPr>
          <w:rFonts w:ascii="Times New Roman" w:hAnsi="Times New Roman" w:cs="Times New Roman"/>
          <w:sz w:val="24"/>
        </w:rPr>
        <w:t xml:space="preserve"> </w:t>
      </w:r>
      <w:r w:rsidR="00E94669" w:rsidRPr="00E94669">
        <w:rPr>
          <w:rFonts w:ascii="Times New Roman" w:hAnsi="Times New Roman" w:cs="Times New Roman"/>
          <w:sz w:val="24"/>
        </w:rPr>
        <w:t>Karakteristik subyek penelitian ini meliputi usia, jenis kelamin, dan penyakit penyerta</w:t>
      </w:r>
      <w:r w:rsidR="00E94669">
        <w:rPr>
          <w:rFonts w:ascii="Times New Roman" w:hAnsi="Times New Roman" w:cs="Times New Roman"/>
          <w:sz w:val="24"/>
        </w:rPr>
        <w:t xml:space="preserve">. Pada penelitian ini </w:t>
      </w:r>
      <w:r w:rsidR="00E94669" w:rsidRPr="00E94669">
        <w:rPr>
          <w:rFonts w:ascii="Times New Roman" w:hAnsi="Times New Roman" w:cs="Times New Roman" w:hint="eastAsia"/>
          <w:sz w:val="24"/>
        </w:rPr>
        <w:t>data karakteristik pasien dengan usia anak (</w:t>
      </w:r>
      <w:r w:rsidR="00E94669" w:rsidRPr="00E94669">
        <w:rPr>
          <w:rFonts w:ascii="Times New Roman" w:hAnsi="Times New Roman" w:cs="Times New Roman" w:hint="eastAsia"/>
          <w:sz w:val="24"/>
        </w:rPr>
        <w:t>≤</w:t>
      </w:r>
      <w:r w:rsidR="00E94669" w:rsidRPr="00E94669">
        <w:rPr>
          <w:rFonts w:ascii="Times New Roman" w:hAnsi="Times New Roman" w:cs="Times New Roman" w:hint="eastAsia"/>
          <w:sz w:val="24"/>
        </w:rPr>
        <w:t>18</w:t>
      </w:r>
      <w:r w:rsidR="00E94669">
        <w:rPr>
          <w:rFonts w:ascii="Times New Roman" w:hAnsi="Times New Roman" w:cs="Times New Roman"/>
          <w:sz w:val="24"/>
        </w:rPr>
        <w:t xml:space="preserve"> tahun</w:t>
      </w:r>
      <w:r w:rsidR="00E94669" w:rsidRPr="00E94669">
        <w:rPr>
          <w:rFonts w:ascii="Times New Roman" w:hAnsi="Times New Roman" w:cs="Times New Roman" w:hint="eastAsia"/>
          <w:sz w:val="24"/>
        </w:rPr>
        <w:t>) memiliki presentasi kejadian ISPA yang rendah yaitu sebesar 11,</w:t>
      </w:r>
      <w:r w:rsidR="00C52AC1">
        <w:rPr>
          <w:rFonts w:ascii="Times New Roman" w:hAnsi="Times New Roman" w:cs="Times New Roman"/>
          <w:sz w:val="24"/>
        </w:rPr>
        <w:t>6</w:t>
      </w:r>
      <w:r w:rsidR="00E94669" w:rsidRPr="00E94669">
        <w:rPr>
          <w:rFonts w:ascii="Times New Roman" w:hAnsi="Times New Roman" w:cs="Times New Roman" w:hint="eastAsia"/>
          <w:sz w:val="24"/>
        </w:rPr>
        <w:t xml:space="preserve"> % (5 pasien) sedangkan usia dewasa (</w:t>
      </w:r>
      <w:r w:rsidR="00E94669" w:rsidRPr="00E94669">
        <w:rPr>
          <w:rFonts w:ascii="Times New Roman" w:hAnsi="Times New Roman" w:cs="Times New Roman" w:hint="eastAsia"/>
          <w:sz w:val="24"/>
        </w:rPr>
        <w:t>≥</w:t>
      </w:r>
      <w:r w:rsidR="00E94669" w:rsidRPr="00E94669">
        <w:rPr>
          <w:rFonts w:ascii="Times New Roman" w:hAnsi="Times New Roman" w:cs="Times New Roman" w:hint="eastAsia"/>
          <w:sz w:val="24"/>
        </w:rPr>
        <w:t>18</w:t>
      </w:r>
      <w:r w:rsidR="00E94669">
        <w:rPr>
          <w:rFonts w:ascii="Times New Roman" w:hAnsi="Times New Roman" w:cs="Times New Roman"/>
          <w:sz w:val="24"/>
        </w:rPr>
        <w:t xml:space="preserve"> tahun</w:t>
      </w:r>
      <w:r w:rsidR="00E94669" w:rsidRPr="00E94669">
        <w:rPr>
          <w:rFonts w:ascii="Times New Roman" w:hAnsi="Times New Roman" w:cs="Times New Roman" w:hint="eastAsia"/>
          <w:sz w:val="24"/>
        </w:rPr>
        <w:t>) memiliki persentase kejadian ISPA sebesar 88,</w:t>
      </w:r>
      <w:r w:rsidR="00C52AC1">
        <w:rPr>
          <w:rFonts w:ascii="Times New Roman" w:hAnsi="Times New Roman" w:cs="Times New Roman"/>
          <w:sz w:val="24"/>
        </w:rPr>
        <w:t>4</w:t>
      </w:r>
      <w:r w:rsidR="00E94669" w:rsidRPr="00E94669">
        <w:rPr>
          <w:rFonts w:ascii="Times New Roman" w:hAnsi="Times New Roman" w:cs="Times New Roman" w:hint="eastAsia"/>
          <w:sz w:val="24"/>
        </w:rPr>
        <w:t xml:space="preserve"> % (3</w:t>
      </w:r>
      <w:r w:rsidR="00C52AC1">
        <w:rPr>
          <w:rFonts w:ascii="Times New Roman" w:hAnsi="Times New Roman" w:cs="Times New Roman"/>
          <w:sz w:val="24"/>
        </w:rPr>
        <w:t>8</w:t>
      </w:r>
      <w:r w:rsidR="00E94669" w:rsidRPr="00E94669">
        <w:rPr>
          <w:rFonts w:ascii="Times New Roman" w:hAnsi="Times New Roman" w:cs="Times New Roman" w:hint="eastAsia"/>
          <w:sz w:val="24"/>
        </w:rPr>
        <w:t xml:space="preserve"> pasien)</w:t>
      </w:r>
      <w:r w:rsidR="00E94669">
        <w:rPr>
          <w:rFonts w:ascii="Times New Roman" w:hAnsi="Times New Roman" w:cs="Times New Roman"/>
          <w:sz w:val="24"/>
        </w:rPr>
        <w:t>.</w:t>
      </w:r>
      <w:r w:rsidR="003F7B06">
        <w:rPr>
          <w:rFonts w:ascii="Times New Roman" w:hAnsi="Times New Roman" w:cs="Times New Roman"/>
          <w:sz w:val="24"/>
        </w:rPr>
        <w:t xml:space="preserve"> </w:t>
      </w:r>
      <w:r w:rsidR="003F7B06" w:rsidRPr="003F7B06">
        <w:rPr>
          <w:rFonts w:ascii="Times New Roman" w:hAnsi="Times New Roman" w:cs="Times New Roman" w:hint="eastAsia"/>
          <w:sz w:val="24"/>
        </w:rPr>
        <w:t xml:space="preserve">Penelitian ini sesuai dengan laporan oleh Chen dkk. (2014) yang menggambarkan bahwa usia </w:t>
      </w:r>
      <w:r w:rsidR="003F7B06" w:rsidRPr="003F7B06">
        <w:rPr>
          <w:rFonts w:ascii="Times New Roman" w:hAnsi="Times New Roman" w:cs="Times New Roman" w:hint="eastAsia"/>
          <w:sz w:val="24"/>
        </w:rPr>
        <w:t>≥</w:t>
      </w:r>
      <w:r w:rsidR="003F7B06" w:rsidRPr="003F7B06">
        <w:rPr>
          <w:rFonts w:ascii="Times New Roman" w:hAnsi="Times New Roman" w:cs="Times New Roman" w:hint="eastAsia"/>
          <w:sz w:val="24"/>
        </w:rPr>
        <w:t xml:space="preserve">18 tahun memiliki kasus terbanyak yang mengalami infeksi saluran pernafasan akut daripada usia </w:t>
      </w:r>
      <w:r w:rsidR="003F7B06" w:rsidRPr="003F7B06">
        <w:rPr>
          <w:rFonts w:ascii="Times New Roman" w:hAnsi="Times New Roman" w:cs="Times New Roman" w:hint="eastAsia"/>
          <w:sz w:val="24"/>
        </w:rPr>
        <w:t>≤</w:t>
      </w:r>
      <w:r w:rsidR="003F7B06" w:rsidRPr="003F7B06">
        <w:rPr>
          <w:rFonts w:ascii="Times New Roman" w:hAnsi="Times New Roman" w:cs="Times New Roman" w:hint="eastAsia"/>
          <w:sz w:val="24"/>
        </w:rPr>
        <w:t>18 tahun. Peningkatan usia merupakan salah satu faktor risiko lain yan</w:t>
      </w:r>
      <w:r w:rsidR="003F7B06" w:rsidRPr="003F7B06">
        <w:rPr>
          <w:rFonts w:ascii="Times New Roman" w:hAnsi="Times New Roman" w:cs="Times New Roman"/>
          <w:sz w:val="24"/>
        </w:rPr>
        <w:t xml:space="preserve">g tidak hanya mempengaruhi sekresi orofaringeal, tetapi juga terkait dengan respons imun yang melemah dan adanya faktor penyakit penyerta </w:t>
      </w:r>
      <w:r w:rsidR="0076199B" w:rsidRPr="003F7B06">
        <w:rPr>
          <w:rFonts w:ascii="Times New Roman" w:hAnsi="Times New Roman" w:cs="Times New Roman"/>
          <w:sz w:val="24"/>
        </w:rPr>
        <w:t>(Tamayo dkk., 2016)</w:t>
      </w:r>
      <w:r w:rsidR="0076199B">
        <w:rPr>
          <w:rFonts w:ascii="Times New Roman" w:hAnsi="Times New Roman" w:cs="Times New Roman"/>
          <w:sz w:val="24"/>
        </w:rPr>
        <w:t xml:space="preserve">. </w:t>
      </w:r>
      <w:r w:rsidR="0076199B" w:rsidRPr="00C26B26">
        <w:rPr>
          <w:rFonts w:ascii="Times New Roman" w:hAnsi="Times New Roman" w:cs="Times New Roman"/>
          <w:sz w:val="24"/>
        </w:rPr>
        <w:t>Kejadian ISPA</w:t>
      </w:r>
      <w:r w:rsidR="0076199B">
        <w:rPr>
          <w:rFonts w:ascii="Times New Roman" w:hAnsi="Times New Roman" w:cs="Times New Roman"/>
          <w:sz w:val="24"/>
        </w:rPr>
        <w:t xml:space="preserve"> banyak dialami oleh </w:t>
      </w:r>
      <w:r w:rsidR="0076199B" w:rsidRPr="00C26B26">
        <w:rPr>
          <w:rFonts w:ascii="Times New Roman" w:hAnsi="Times New Roman" w:cs="Times New Roman"/>
          <w:sz w:val="24"/>
        </w:rPr>
        <w:t xml:space="preserve">perempuan </w:t>
      </w:r>
      <w:r w:rsidR="0076199B">
        <w:rPr>
          <w:rFonts w:ascii="Times New Roman" w:hAnsi="Times New Roman" w:cs="Times New Roman"/>
          <w:sz w:val="24"/>
        </w:rPr>
        <w:t>dengan</w:t>
      </w:r>
      <w:r w:rsidR="0076199B" w:rsidRPr="00C26B26">
        <w:rPr>
          <w:rFonts w:ascii="Times New Roman" w:hAnsi="Times New Roman" w:cs="Times New Roman"/>
          <w:sz w:val="24"/>
        </w:rPr>
        <w:t xml:space="preserve"> persentase sebesar 5</w:t>
      </w:r>
      <w:r w:rsidR="00C52AC1">
        <w:rPr>
          <w:rFonts w:ascii="Times New Roman" w:hAnsi="Times New Roman" w:cs="Times New Roman"/>
          <w:sz w:val="24"/>
        </w:rPr>
        <w:t>5</w:t>
      </w:r>
      <w:r w:rsidR="0076199B" w:rsidRPr="00C26B26">
        <w:rPr>
          <w:rFonts w:ascii="Times New Roman" w:hAnsi="Times New Roman" w:cs="Times New Roman"/>
          <w:sz w:val="24"/>
        </w:rPr>
        <w:t>,</w:t>
      </w:r>
      <w:r w:rsidR="00C52AC1">
        <w:rPr>
          <w:rFonts w:ascii="Times New Roman" w:hAnsi="Times New Roman" w:cs="Times New Roman"/>
          <w:sz w:val="24"/>
        </w:rPr>
        <w:t>8</w:t>
      </w:r>
      <w:r w:rsidR="0076199B" w:rsidRPr="00C26B26">
        <w:rPr>
          <w:rFonts w:ascii="Times New Roman" w:hAnsi="Times New Roman" w:cs="Times New Roman"/>
          <w:sz w:val="24"/>
        </w:rPr>
        <w:t>% lebih tinggi dari laki-laki dengan persentase 4</w:t>
      </w:r>
      <w:r w:rsidR="00C52AC1">
        <w:rPr>
          <w:rFonts w:ascii="Times New Roman" w:hAnsi="Times New Roman" w:cs="Times New Roman"/>
          <w:sz w:val="24"/>
        </w:rPr>
        <w:t>4</w:t>
      </w:r>
      <w:r w:rsidR="0076199B" w:rsidRPr="00C26B26">
        <w:rPr>
          <w:rFonts w:ascii="Times New Roman" w:hAnsi="Times New Roman" w:cs="Times New Roman"/>
          <w:sz w:val="24"/>
        </w:rPr>
        <w:t>,</w:t>
      </w:r>
      <w:r w:rsidR="00C52AC1">
        <w:rPr>
          <w:rFonts w:ascii="Times New Roman" w:hAnsi="Times New Roman" w:cs="Times New Roman"/>
          <w:sz w:val="24"/>
        </w:rPr>
        <w:t>2</w:t>
      </w:r>
      <w:r w:rsidR="0076199B" w:rsidRPr="00C26B26">
        <w:rPr>
          <w:rFonts w:ascii="Times New Roman" w:hAnsi="Times New Roman" w:cs="Times New Roman"/>
          <w:sz w:val="24"/>
        </w:rPr>
        <w:t>%</w:t>
      </w:r>
      <w:r w:rsidR="0076199B">
        <w:rPr>
          <w:rFonts w:ascii="Times New Roman" w:hAnsi="Times New Roman" w:cs="Times New Roman"/>
          <w:sz w:val="24"/>
        </w:rPr>
        <w:t xml:space="preserve">. </w:t>
      </w:r>
      <w:r w:rsidR="0076199B" w:rsidRPr="00C26B26">
        <w:rPr>
          <w:rFonts w:ascii="Times New Roman" w:hAnsi="Times New Roman" w:cs="Times New Roman"/>
          <w:sz w:val="24"/>
        </w:rPr>
        <w:t>Falagas dkk. (2007)</w:t>
      </w:r>
      <w:r w:rsidR="0076199B">
        <w:rPr>
          <w:rFonts w:ascii="Times New Roman" w:hAnsi="Times New Roman" w:cs="Times New Roman"/>
          <w:sz w:val="24"/>
        </w:rPr>
        <w:t xml:space="preserve"> melaporkan bahwa</w:t>
      </w:r>
      <w:r w:rsidR="0076199B" w:rsidRPr="00C26B26">
        <w:rPr>
          <w:rFonts w:ascii="Times New Roman" w:hAnsi="Times New Roman" w:cs="Times New Roman"/>
          <w:sz w:val="24"/>
        </w:rPr>
        <w:t xml:space="preserve"> wanita lebih sering terkena infeksi saluran pernapasan, terutama sinusitis, radang amandel, dan otitis eksterna, </w:t>
      </w:r>
      <w:r w:rsidR="0076199B" w:rsidRPr="00C26B26">
        <w:rPr>
          <w:rFonts w:ascii="Times New Roman" w:hAnsi="Times New Roman" w:cs="Times New Roman"/>
          <w:sz w:val="24"/>
        </w:rPr>
        <w:lastRenderedPageBreak/>
        <w:t>sementara laki-laki lebih sering terkena otitis media, croup, dan infeksi saluran pernafasan bagian bawah. Hal tersebut dapat di pengaruhi oleh</w:t>
      </w:r>
      <w:r w:rsidR="0076199B">
        <w:rPr>
          <w:rFonts w:ascii="Times New Roman" w:hAnsi="Times New Roman" w:cs="Times New Roman"/>
          <w:sz w:val="24"/>
        </w:rPr>
        <w:t xml:space="preserve"> </w:t>
      </w:r>
      <w:r w:rsidR="0076199B" w:rsidRPr="00C26B26">
        <w:rPr>
          <w:rFonts w:ascii="Times New Roman" w:hAnsi="Times New Roman" w:cs="Times New Roman"/>
          <w:sz w:val="24"/>
        </w:rPr>
        <w:t xml:space="preserve">perbedaan anatomi, gaya hidup, perilaku, dan sosial ekonomi antara pria dan wanita. Peran hormon seks dalam pengaturan sistem kekebalan tubuh juga dapat berkontribusi pada kejadian ISPA (Theobald dkk., 2006; </w:t>
      </w:r>
      <w:r w:rsidR="0076199B" w:rsidRPr="00C26B26">
        <w:rPr>
          <w:rFonts w:ascii="Times New Roman" w:hAnsi="Times New Roman" w:cs="Times New Roman"/>
          <w:sz w:val="24"/>
        </w:rPr>
        <w:t>Reichert dkk., 2004; Klein dkk., 2000).</w:t>
      </w:r>
      <w:r w:rsidR="0076199B">
        <w:rPr>
          <w:rFonts w:ascii="Times New Roman" w:hAnsi="Times New Roman" w:cs="Times New Roman"/>
          <w:sz w:val="24"/>
        </w:rPr>
        <w:t xml:space="preserve"> </w:t>
      </w:r>
      <w:r w:rsidR="0076199B" w:rsidRPr="006E1175">
        <w:rPr>
          <w:rFonts w:ascii="Times New Roman" w:hAnsi="Times New Roman" w:cs="Times New Roman"/>
          <w:sz w:val="24"/>
        </w:rPr>
        <w:t xml:space="preserve">Berdasarkan tabel </w:t>
      </w:r>
      <w:r w:rsidR="0076199B">
        <w:rPr>
          <w:rFonts w:ascii="Times New Roman" w:hAnsi="Times New Roman" w:cs="Times New Roman"/>
          <w:sz w:val="24"/>
        </w:rPr>
        <w:t>1</w:t>
      </w:r>
      <w:r w:rsidR="0076199B" w:rsidRPr="006E1175">
        <w:rPr>
          <w:rFonts w:ascii="Times New Roman" w:hAnsi="Times New Roman" w:cs="Times New Roman"/>
          <w:sz w:val="24"/>
        </w:rPr>
        <w:t xml:space="preserve"> terdapat 1</w:t>
      </w:r>
      <w:r w:rsidR="00C52AC1">
        <w:rPr>
          <w:rFonts w:ascii="Times New Roman" w:hAnsi="Times New Roman" w:cs="Times New Roman"/>
          <w:sz w:val="24"/>
        </w:rPr>
        <w:t>8</w:t>
      </w:r>
      <w:r w:rsidR="0076199B" w:rsidRPr="006E1175">
        <w:rPr>
          <w:rFonts w:ascii="Times New Roman" w:hAnsi="Times New Roman" w:cs="Times New Roman"/>
          <w:sz w:val="24"/>
        </w:rPr>
        <w:t xml:space="preserve"> pasien (4</w:t>
      </w:r>
      <w:r w:rsidR="00C52AC1">
        <w:rPr>
          <w:rFonts w:ascii="Times New Roman" w:hAnsi="Times New Roman" w:cs="Times New Roman"/>
          <w:sz w:val="24"/>
        </w:rPr>
        <w:t>1</w:t>
      </w:r>
      <w:r w:rsidR="0076199B" w:rsidRPr="006E1175">
        <w:rPr>
          <w:rFonts w:ascii="Times New Roman" w:hAnsi="Times New Roman" w:cs="Times New Roman"/>
          <w:sz w:val="24"/>
        </w:rPr>
        <w:t>,</w:t>
      </w:r>
      <w:r w:rsidR="00C52AC1">
        <w:rPr>
          <w:rFonts w:ascii="Times New Roman" w:hAnsi="Times New Roman" w:cs="Times New Roman"/>
          <w:sz w:val="24"/>
        </w:rPr>
        <w:t>9</w:t>
      </w:r>
      <w:r w:rsidR="0076199B" w:rsidRPr="006E1175">
        <w:rPr>
          <w:rFonts w:ascii="Times New Roman" w:hAnsi="Times New Roman" w:cs="Times New Roman"/>
          <w:sz w:val="24"/>
        </w:rPr>
        <w:t>%) yang memiliki penyakit penyerta (komorbid) dan 25 pasien (5</w:t>
      </w:r>
      <w:r w:rsidR="00C52AC1">
        <w:rPr>
          <w:rFonts w:ascii="Times New Roman" w:hAnsi="Times New Roman" w:cs="Times New Roman"/>
          <w:sz w:val="24"/>
        </w:rPr>
        <w:t>8</w:t>
      </w:r>
      <w:r w:rsidR="0076199B" w:rsidRPr="006E1175">
        <w:rPr>
          <w:rFonts w:ascii="Times New Roman" w:hAnsi="Times New Roman" w:cs="Times New Roman"/>
          <w:sz w:val="24"/>
        </w:rPr>
        <w:t>,</w:t>
      </w:r>
      <w:r w:rsidR="00C52AC1">
        <w:rPr>
          <w:rFonts w:ascii="Times New Roman" w:hAnsi="Times New Roman" w:cs="Times New Roman"/>
          <w:sz w:val="24"/>
        </w:rPr>
        <w:t>1</w:t>
      </w:r>
      <w:r w:rsidR="0076199B" w:rsidRPr="006E1175">
        <w:rPr>
          <w:rFonts w:ascii="Times New Roman" w:hAnsi="Times New Roman" w:cs="Times New Roman"/>
          <w:sz w:val="24"/>
        </w:rPr>
        <w:t>%) tanpa memiliki penyakit penyerta. Komorbiditas telah terbukti menjadi faktor risiko kematian ISPA di antara anak-anak dan orang dewasa (Tomczyk dkk., 2019).</w:t>
      </w:r>
    </w:p>
    <w:p w14:paraId="5B02CD65" w14:textId="11856020" w:rsidR="0076199B" w:rsidRDefault="0076199B" w:rsidP="0076199B">
      <w:pPr>
        <w:spacing w:after="0" w:line="240" w:lineRule="auto"/>
        <w:jc w:val="both"/>
        <w:rPr>
          <w:rFonts w:ascii="Times New Roman" w:hAnsi="Times New Roman" w:cs="Times New Roman"/>
          <w:sz w:val="24"/>
        </w:rPr>
        <w:sectPr w:rsidR="0076199B" w:rsidSect="0076199B">
          <w:type w:val="continuous"/>
          <w:pgSz w:w="11907" w:h="16839" w:code="9"/>
          <w:pgMar w:top="1440" w:right="1440" w:bottom="1440" w:left="1440" w:header="720" w:footer="720" w:gutter="0"/>
          <w:cols w:num="2" w:space="283"/>
          <w:docGrid w:linePitch="360"/>
        </w:sectPr>
      </w:pPr>
    </w:p>
    <w:p w14:paraId="4B2491AD" w14:textId="77777777" w:rsidR="00DA74AC" w:rsidRDefault="00DA74AC" w:rsidP="00AF51B7">
      <w:pPr>
        <w:spacing w:after="0" w:line="240" w:lineRule="auto"/>
        <w:ind w:left="851" w:hanging="851"/>
        <w:jc w:val="center"/>
        <w:rPr>
          <w:rFonts w:ascii="Times New Roman" w:hAnsi="Times New Roman" w:cs="Times New Roman"/>
          <w:b/>
          <w:szCs w:val="24"/>
        </w:rPr>
      </w:pPr>
    </w:p>
    <w:p w14:paraId="01E7D4A8" w14:textId="20C89C65" w:rsidR="009C18FD" w:rsidRDefault="009C18FD" w:rsidP="00AF51B7">
      <w:pPr>
        <w:spacing w:after="0" w:line="240" w:lineRule="auto"/>
        <w:ind w:left="851" w:hanging="851"/>
        <w:jc w:val="center"/>
        <w:rPr>
          <w:rFonts w:ascii="Times New Roman" w:hAnsi="Times New Roman" w:cs="Times New Roman"/>
          <w:b/>
          <w:szCs w:val="24"/>
        </w:rPr>
      </w:pPr>
      <w:r>
        <w:rPr>
          <w:rFonts w:ascii="Times New Roman" w:hAnsi="Times New Roman" w:cs="Times New Roman"/>
          <w:b/>
          <w:szCs w:val="24"/>
        </w:rPr>
        <w:t>Tabel 1. Karakteristik pasien ISPA di puskesmas Jetis Yogyakarta selama periode bulan April-Agustus 2019.</w:t>
      </w:r>
    </w:p>
    <w:tbl>
      <w:tblPr>
        <w:tblStyle w:val="TableGrid"/>
        <w:tblW w:w="7512" w:type="dxa"/>
        <w:jc w:val="center"/>
        <w:tblInd w:w="0" w:type="dxa"/>
        <w:tblLook w:val="04A0" w:firstRow="1" w:lastRow="0" w:firstColumn="1" w:lastColumn="0" w:noHBand="0" w:noVBand="1"/>
      </w:tblPr>
      <w:tblGrid>
        <w:gridCol w:w="3969"/>
        <w:gridCol w:w="1842"/>
        <w:gridCol w:w="1701"/>
      </w:tblGrid>
      <w:tr w:rsidR="009C18FD" w:rsidRPr="00AF51B7" w14:paraId="1867C851" w14:textId="77777777" w:rsidTr="00DA74AC">
        <w:trPr>
          <w:jc w:val="center"/>
        </w:trPr>
        <w:tc>
          <w:tcPr>
            <w:tcW w:w="3969" w:type="dxa"/>
            <w:tcBorders>
              <w:top w:val="single" w:sz="4" w:space="0" w:color="auto"/>
              <w:left w:val="nil"/>
              <w:bottom w:val="single" w:sz="4" w:space="0" w:color="auto"/>
              <w:right w:val="nil"/>
            </w:tcBorders>
            <w:hideMark/>
          </w:tcPr>
          <w:p w14:paraId="718C37AD" w14:textId="77777777" w:rsidR="009C18FD" w:rsidRPr="00AF51B7" w:rsidRDefault="009C18FD">
            <w:pPr>
              <w:rPr>
                <w:rFonts w:ascii="Times New Roman" w:hAnsi="Times New Roman" w:cs="Times New Roman"/>
              </w:rPr>
            </w:pPr>
            <w:r w:rsidRPr="00AF51B7">
              <w:rPr>
                <w:rFonts w:ascii="Times New Roman" w:hAnsi="Times New Roman" w:cs="Times New Roman"/>
              </w:rPr>
              <w:t>Karakteristik</w:t>
            </w:r>
          </w:p>
        </w:tc>
        <w:tc>
          <w:tcPr>
            <w:tcW w:w="1842" w:type="dxa"/>
            <w:tcBorders>
              <w:top w:val="single" w:sz="4" w:space="0" w:color="auto"/>
              <w:left w:val="nil"/>
              <w:bottom w:val="single" w:sz="4" w:space="0" w:color="auto"/>
              <w:right w:val="nil"/>
            </w:tcBorders>
            <w:hideMark/>
          </w:tcPr>
          <w:p w14:paraId="2B40D1DF" w14:textId="391ED403" w:rsidR="009C18FD" w:rsidRPr="00AF51B7" w:rsidRDefault="009C18FD">
            <w:pPr>
              <w:jc w:val="center"/>
              <w:rPr>
                <w:rFonts w:ascii="Times New Roman" w:hAnsi="Times New Roman" w:cs="Times New Roman"/>
              </w:rPr>
            </w:pPr>
            <w:r w:rsidRPr="00AF51B7">
              <w:rPr>
                <w:rFonts w:ascii="Times New Roman" w:hAnsi="Times New Roman" w:cs="Times New Roman"/>
              </w:rPr>
              <w:t>Jumlah (n=4</w:t>
            </w:r>
            <w:r w:rsidR="00C52AC1">
              <w:rPr>
                <w:rFonts w:ascii="Times New Roman" w:hAnsi="Times New Roman" w:cs="Times New Roman"/>
              </w:rPr>
              <w:t>3</w:t>
            </w:r>
            <w:r w:rsidRPr="00AF51B7">
              <w:rPr>
                <w:rFonts w:ascii="Times New Roman" w:hAnsi="Times New Roman" w:cs="Times New Roman"/>
              </w:rPr>
              <w:t>)</w:t>
            </w:r>
          </w:p>
        </w:tc>
        <w:tc>
          <w:tcPr>
            <w:tcW w:w="1701" w:type="dxa"/>
            <w:tcBorders>
              <w:top w:val="single" w:sz="4" w:space="0" w:color="auto"/>
              <w:left w:val="nil"/>
              <w:bottom w:val="single" w:sz="4" w:space="0" w:color="auto"/>
              <w:right w:val="nil"/>
            </w:tcBorders>
            <w:hideMark/>
          </w:tcPr>
          <w:p w14:paraId="70C032BF" w14:textId="77777777" w:rsidR="009C18FD" w:rsidRPr="00AF51B7" w:rsidRDefault="009C18FD">
            <w:pPr>
              <w:jc w:val="center"/>
              <w:rPr>
                <w:rFonts w:ascii="Times New Roman" w:hAnsi="Times New Roman" w:cs="Times New Roman"/>
              </w:rPr>
            </w:pPr>
            <w:r w:rsidRPr="00AF51B7">
              <w:rPr>
                <w:rFonts w:ascii="Times New Roman" w:hAnsi="Times New Roman" w:cs="Times New Roman"/>
              </w:rPr>
              <w:t>Persentase (%)</w:t>
            </w:r>
          </w:p>
        </w:tc>
      </w:tr>
      <w:tr w:rsidR="009C18FD" w:rsidRPr="00AF51B7" w14:paraId="0B75F71C" w14:textId="77777777" w:rsidTr="00DA74AC">
        <w:trPr>
          <w:jc w:val="center"/>
        </w:trPr>
        <w:tc>
          <w:tcPr>
            <w:tcW w:w="3969" w:type="dxa"/>
            <w:tcBorders>
              <w:top w:val="single" w:sz="4" w:space="0" w:color="auto"/>
              <w:left w:val="nil"/>
              <w:bottom w:val="nil"/>
              <w:right w:val="nil"/>
            </w:tcBorders>
            <w:hideMark/>
          </w:tcPr>
          <w:p w14:paraId="607C99E0" w14:textId="77777777" w:rsidR="009C18FD" w:rsidRPr="00AF51B7" w:rsidRDefault="009C18FD">
            <w:pPr>
              <w:rPr>
                <w:rFonts w:ascii="Times New Roman" w:hAnsi="Times New Roman" w:cs="Times New Roman"/>
              </w:rPr>
            </w:pPr>
            <w:r w:rsidRPr="00AF51B7">
              <w:rPr>
                <w:rFonts w:ascii="Times New Roman" w:hAnsi="Times New Roman" w:cs="Times New Roman"/>
              </w:rPr>
              <w:t>Usia (tahun)</w:t>
            </w:r>
          </w:p>
        </w:tc>
        <w:tc>
          <w:tcPr>
            <w:tcW w:w="1842" w:type="dxa"/>
            <w:tcBorders>
              <w:top w:val="single" w:sz="4" w:space="0" w:color="auto"/>
              <w:left w:val="nil"/>
              <w:bottom w:val="nil"/>
              <w:right w:val="nil"/>
            </w:tcBorders>
          </w:tcPr>
          <w:p w14:paraId="27280709" w14:textId="77777777" w:rsidR="009C18FD" w:rsidRPr="00AF51B7" w:rsidRDefault="009C18FD">
            <w:pPr>
              <w:jc w:val="center"/>
              <w:rPr>
                <w:rFonts w:ascii="Times New Roman" w:hAnsi="Times New Roman" w:cs="Times New Roman"/>
              </w:rPr>
            </w:pPr>
          </w:p>
        </w:tc>
        <w:tc>
          <w:tcPr>
            <w:tcW w:w="1701" w:type="dxa"/>
            <w:tcBorders>
              <w:top w:val="single" w:sz="4" w:space="0" w:color="auto"/>
              <w:left w:val="nil"/>
              <w:bottom w:val="nil"/>
              <w:right w:val="nil"/>
            </w:tcBorders>
          </w:tcPr>
          <w:p w14:paraId="45A2A3E2" w14:textId="77777777" w:rsidR="009C18FD" w:rsidRPr="00AF51B7" w:rsidRDefault="009C18FD">
            <w:pPr>
              <w:jc w:val="center"/>
              <w:rPr>
                <w:rFonts w:ascii="Times New Roman" w:hAnsi="Times New Roman" w:cs="Times New Roman"/>
              </w:rPr>
            </w:pPr>
          </w:p>
        </w:tc>
      </w:tr>
      <w:tr w:rsidR="009C18FD" w:rsidRPr="00AF51B7" w14:paraId="2FDB0BAC" w14:textId="77777777" w:rsidTr="00DA74AC">
        <w:trPr>
          <w:jc w:val="center"/>
        </w:trPr>
        <w:tc>
          <w:tcPr>
            <w:tcW w:w="3969" w:type="dxa"/>
            <w:tcBorders>
              <w:top w:val="nil"/>
              <w:left w:val="nil"/>
              <w:bottom w:val="nil"/>
              <w:right w:val="nil"/>
            </w:tcBorders>
            <w:hideMark/>
          </w:tcPr>
          <w:p w14:paraId="4795B720" w14:textId="77777777" w:rsidR="009C18FD" w:rsidRPr="00AF51B7" w:rsidRDefault="009C18FD">
            <w:pPr>
              <w:ind w:left="311"/>
              <w:rPr>
                <w:rFonts w:ascii="Times New Roman" w:hAnsi="Times New Roman" w:cs="Times New Roman"/>
              </w:rPr>
            </w:pPr>
            <w:r w:rsidRPr="00AF51B7">
              <w:rPr>
                <w:rFonts w:ascii="Times New Roman" w:hAnsi="Times New Roman" w:cs="Times New Roman"/>
              </w:rPr>
              <w:t>≤18</w:t>
            </w:r>
          </w:p>
        </w:tc>
        <w:tc>
          <w:tcPr>
            <w:tcW w:w="1842" w:type="dxa"/>
            <w:tcBorders>
              <w:top w:val="nil"/>
              <w:left w:val="nil"/>
              <w:bottom w:val="nil"/>
              <w:right w:val="nil"/>
            </w:tcBorders>
            <w:hideMark/>
          </w:tcPr>
          <w:p w14:paraId="559F2B2E" w14:textId="77777777" w:rsidR="009C18FD" w:rsidRPr="00AF51B7" w:rsidRDefault="009C18FD">
            <w:pPr>
              <w:jc w:val="center"/>
              <w:rPr>
                <w:rFonts w:ascii="Times New Roman" w:hAnsi="Times New Roman" w:cs="Times New Roman"/>
              </w:rPr>
            </w:pPr>
            <w:r w:rsidRPr="00AF51B7">
              <w:rPr>
                <w:rFonts w:ascii="Times New Roman" w:hAnsi="Times New Roman" w:cs="Times New Roman"/>
              </w:rPr>
              <w:t>5</w:t>
            </w:r>
          </w:p>
        </w:tc>
        <w:tc>
          <w:tcPr>
            <w:tcW w:w="1701" w:type="dxa"/>
            <w:tcBorders>
              <w:top w:val="nil"/>
              <w:left w:val="nil"/>
              <w:bottom w:val="nil"/>
              <w:right w:val="nil"/>
            </w:tcBorders>
            <w:hideMark/>
          </w:tcPr>
          <w:p w14:paraId="56485468" w14:textId="14E5A091" w:rsidR="009C18FD" w:rsidRPr="00AF51B7" w:rsidRDefault="009C18FD">
            <w:pPr>
              <w:jc w:val="center"/>
              <w:rPr>
                <w:rFonts w:ascii="Times New Roman" w:hAnsi="Times New Roman" w:cs="Times New Roman"/>
              </w:rPr>
            </w:pPr>
            <w:r w:rsidRPr="00AF51B7">
              <w:rPr>
                <w:rFonts w:ascii="Times New Roman" w:hAnsi="Times New Roman" w:cs="Times New Roman"/>
              </w:rPr>
              <w:t>11,</w:t>
            </w:r>
            <w:r w:rsidR="007A706F">
              <w:rPr>
                <w:rFonts w:ascii="Times New Roman" w:hAnsi="Times New Roman" w:cs="Times New Roman"/>
              </w:rPr>
              <w:t>6</w:t>
            </w:r>
          </w:p>
        </w:tc>
      </w:tr>
      <w:tr w:rsidR="009C18FD" w:rsidRPr="00AF51B7" w14:paraId="45284575" w14:textId="77777777" w:rsidTr="00DA74AC">
        <w:trPr>
          <w:jc w:val="center"/>
        </w:trPr>
        <w:tc>
          <w:tcPr>
            <w:tcW w:w="3969" w:type="dxa"/>
            <w:tcBorders>
              <w:top w:val="nil"/>
              <w:left w:val="nil"/>
              <w:bottom w:val="nil"/>
              <w:right w:val="nil"/>
            </w:tcBorders>
            <w:hideMark/>
          </w:tcPr>
          <w:p w14:paraId="015BA2ED" w14:textId="77777777" w:rsidR="009C18FD" w:rsidRPr="00AF51B7" w:rsidRDefault="009C18FD">
            <w:pPr>
              <w:ind w:left="311"/>
              <w:rPr>
                <w:rFonts w:ascii="Times New Roman" w:hAnsi="Times New Roman" w:cs="Times New Roman"/>
              </w:rPr>
            </w:pPr>
            <w:r w:rsidRPr="00AF51B7">
              <w:rPr>
                <w:rFonts w:ascii="Times New Roman" w:hAnsi="Times New Roman" w:cs="Times New Roman"/>
              </w:rPr>
              <w:t>≥18</w:t>
            </w:r>
          </w:p>
        </w:tc>
        <w:tc>
          <w:tcPr>
            <w:tcW w:w="1842" w:type="dxa"/>
            <w:tcBorders>
              <w:top w:val="nil"/>
              <w:left w:val="nil"/>
              <w:bottom w:val="nil"/>
              <w:right w:val="nil"/>
            </w:tcBorders>
            <w:hideMark/>
          </w:tcPr>
          <w:p w14:paraId="3385FE9E" w14:textId="1673E36D" w:rsidR="009C18FD" w:rsidRPr="00AF51B7" w:rsidRDefault="009C18FD">
            <w:pPr>
              <w:jc w:val="center"/>
              <w:rPr>
                <w:rFonts w:ascii="Times New Roman" w:hAnsi="Times New Roman" w:cs="Times New Roman"/>
              </w:rPr>
            </w:pPr>
            <w:r w:rsidRPr="00AF51B7">
              <w:rPr>
                <w:rFonts w:ascii="Times New Roman" w:hAnsi="Times New Roman" w:cs="Times New Roman"/>
              </w:rPr>
              <w:t>3</w:t>
            </w:r>
            <w:r w:rsidR="007A706F">
              <w:rPr>
                <w:rFonts w:ascii="Times New Roman" w:hAnsi="Times New Roman" w:cs="Times New Roman"/>
              </w:rPr>
              <w:t>8</w:t>
            </w:r>
          </w:p>
        </w:tc>
        <w:tc>
          <w:tcPr>
            <w:tcW w:w="1701" w:type="dxa"/>
            <w:tcBorders>
              <w:top w:val="nil"/>
              <w:left w:val="nil"/>
              <w:bottom w:val="nil"/>
              <w:right w:val="nil"/>
            </w:tcBorders>
            <w:hideMark/>
          </w:tcPr>
          <w:p w14:paraId="3685C6CC" w14:textId="65D4177D" w:rsidR="009C18FD" w:rsidRPr="00AF51B7" w:rsidRDefault="009C18FD">
            <w:pPr>
              <w:jc w:val="center"/>
              <w:rPr>
                <w:rFonts w:ascii="Times New Roman" w:hAnsi="Times New Roman" w:cs="Times New Roman"/>
              </w:rPr>
            </w:pPr>
            <w:r w:rsidRPr="00AF51B7">
              <w:rPr>
                <w:rFonts w:ascii="Times New Roman" w:hAnsi="Times New Roman" w:cs="Times New Roman"/>
              </w:rPr>
              <w:t>88,</w:t>
            </w:r>
            <w:r w:rsidR="007A706F">
              <w:rPr>
                <w:rFonts w:ascii="Times New Roman" w:hAnsi="Times New Roman" w:cs="Times New Roman"/>
              </w:rPr>
              <w:t>4</w:t>
            </w:r>
          </w:p>
        </w:tc>
      </w:tr>
      <w:tr w:rsidR="009C18FD" w:rsidRPr="00AF51B7" w14:paraId="7BDA438F" w14:textId="77777777" w:rsidTr="00DA74AC">
        <w:trPr>
          <w:jc w:val="center"/>
        </w:trPr>
        <w:tc>
          <w:tcPr>
            <w:tcW w:w="3969" w:type="dxa"/>
            <w:tcBorders>
              <w:top w:val="nil"/>
              <w:left w:val="nil"/>
              <w:bottom w:val="nil"/>
              <w:right w:val="nil"/>
            </w:tcBorders>
            <w:hideMark/>
          </w:tcPr>
          <w:p w14:paraId="34FD6449" w14:textId="77777777" w:rsidR="009C18FD" w:rsidRPr="00AF51B7" w:rsidRDefault="009C18FD">
            <w:pPr>
              <w:rPr>
                <w:rFonts w:ascii="Times New Roman" w:hAnsi="Times New Roman" w:cs="Times New Roman"/>
              </w:rPr>
            </w:pPr>
            <w:r w:rsidRPr="00AF51B7">
              <w:rPr>
                <w:rFonts w:ascii="Times New Roman" w:hAnsi="Times New Roman" w:cs="Times New Roman"/>
              </w:rPr>
              <w:t>Jenis kelamin</w:t>
            </w:r>
          </w:p>
        </w:tc>
        <w:tc>
          <w:tcPr>
            <w:tcW w:w="1842" w:type="dxa"/>
            <w:tcBorders>
              <w:top w:val="nil"/>
              <w:left w:val="nil"/>
              <w:bottom w:val="nil"/>
              <w:right w:val="nil"/>
            </w:tcBorders>
          </w:tcPr>
          <w:p w14:paraId="77FD02A2" w14:textId="77777777" w:rsidR="009C18FD" w:rsidRPr="00AF51B7" w:rsidRDefault="009C18FD">
            <w:pPr>
              <w:jc w:val="center"/>
              <w:rPr>
                <w:rFonts w:ascii="Times New Roman" w:hAnsi="Times New Roman" w:cs="Times New Roman"/>
              </w:rPr>
            </w:pPr>
          </w:p>
        </w:tc>
        <w:tc>
          <w:tcPr>
            <w:tcW w:w="1701" w:type="dxa"/>
            <w:tcBorders>
              <w:top w:val="nil"/>
              <w:left w:val="nil"/>
              <w:bottom w:val="nil"/>
              <w:right w:val="nil"/>
            </w:tcBorders>
          </w:tcPr>
          <w:p w14:paraId="405AF0F2" w14:textId="77777777" w:rsidR="009C18FD" w:rsidRPr="00AF51B7" w:rsidRDefault="009C18FD">
            <w:pPr>
              <w:jc w:val="center"/>
              <w:rPr>
                <w:rFonts w:ascii="Times New Roman" w:hAnsi="Times New Roman" w:cs="Times New Roman"/>
              </w:rPr>
            </w:pPr>
          </w:p>
        </w:tc>
      </w:tr>
      <w:tr w:rsidR="009C18FD" w:rsidRPr="00AF51B7" w14:paraId="1A93B9CF" w14:textId="77777777" w:rsidTr="00DA74AC">
        <w:trPr>
          <w:jc w:val="center"/>
        </w:trPr>
        <w:tc>
          <w:tcPr>
            <w:tcW w:w="3969" w:type="dxa"/>
            <w:tcBorders>
              <w:top w:val="nil"/>
              <w:left w:val="nil"/>
              <w:bottom w:val="nil"/>
              <w:right w:val="nil"/>
            </w:tcBorders>
            <w:hideMark/>
          </w:tcPr>
          <w:p w14:paraId="7F5EC85F" w14:textId="77777777" w:rsidR="009C18FD" w:rsidRPr="00AF51B7" w:rsidRDefault="009C18FD">
            <w:pPr>
              <w:ind w:left="311"/>
              <w:rPr>
                <w:rFonts w:ascii="Times New Roman" w:hAnsi="Times New Roman" w:cs="Times New Roman"/>
              </w:rPr>
            </w:pPr>
            <w:r w:rsidRPr="00AF51B7">
              <w:rPr>
                <w:rFonts w:ascii="Times New Roman" w:hAnsi="Times New Roman" w:cs="Times New Roman"/>
              </w:rPr>
              <w:t>Laki-laki</w:t>
            </w:r>
          </w:p>
        </w:tc>
        <w:tc>
          <w:tcPr>
            <w:tcW w:w="1842" w:type="dxa"/>
            <w:tcBorders>
              <w:top w:val="nil"/>
              <w:left w:val="nil"/>
              <w:bottom w:val="nil"/>
              <w:right w:val="nil"/>
            </w:tcBorders>
            <w:hideMark/>
          </w:tcPr>
          <w:p w14:paraId="7239D56D" w14:textId="3FA70345" w:rsidR="009C18FD" w:rsidRPr="00AF51B7" w:rsidRDefault="007A706F">
            <w:pPr>
              <w:jc w:val="center"/>
              <w:rPr>
                <w:rFonts w:ascii="Times New Roman" w:hAnsi="Times New Roman" w:cs="Times New Roman"/>
              </w:rPr>
            </w:pPr>
            <w:r>
              <w:rPr>
                <w:rFonts w:ascii="Times New Roman" w:hAnsi="Times New Roman" w:cs="Times New Roman"/>
              </w:rPr>
              <w:t>19</w:t>
            </w:r>
          </w:p>
        </w:tc>
        <w:tc>
          <w:tcPr>
            <w:tcW w:w="1701" w:type="dxa"/>
            <w:tcBorders>
              <w:top w:val="nil"/>
              <w:left w:val="nil"/>
              <w:bottom w:val="nil"/>
              <w:right w:val="nil"/>
            </w:tcBorders>
            <w:hideMark/>
          </w:tcPr>
          <w:p w14:paraId="2FBDAC9C" w14:textId="03B0BDEC" w:rsidR="009C18FD" w:rsidRPr="00AF51B7" w:rsidRDefault="009C18FD">
            <w:pPr>
              <w:jc w:val="center"/>
              <w:rPr>
                <w:rFonts w:ascii="Times New Roman" w:hAnsi="Times New Roman" w:cs="Times New Roman"/>
              </w:rPr>
            </w:pPr>
            <w:r w:rsidRPr="00AF51B7">
              <w:rPr>
                <w:rFonts w:ascii="Times New Roman" w:hAnsi="Times New Roman" w:cs="Times New Roman"/>
              </w:rPr>
              <w:t>4</w:t>
            </w:r>
            <w:r w:rsidR="007A706F">
              <w:rPr>
                <w:rFonts w:ascii="Times New Roman" w:hAnsi="Times New Roman" w:cs="Times New Roman"/>
              </w:rPr>
              <w:t>4</w:t>
            </w:r>
            <w:r w:rsidRPr="00AF51B7">
              <w:rPr>
                <w:rFonts w:ascii="Times New Roman" w:hAnsi="Times New Roman" w:cs="Times New Roman"/>
              </w:rPr>
              <w:t>,</w:t>
            </w:r>
            <w:r w:rsidR="007A706F">
              <w:rPr>
                <w:rFonts w:ascii="Times New Roman" w:hAnsi="Times New Roman" w:cs="Times New Roman"/>
              </w:rPr>
              <w:t>2</w:t>
            </w:r>
          </w:p>
        </w:tc>
      </w:tr>
      <w:tr w:rsidR="009C18FD" w:rsidRPr="00AF51B7" w14:paraId="3EE008E2" w14:textId="77777777" w:rsidTr="00DA74AC">
        <w:trPr>
          <w:jc w:val="center"/>
        </w:trPr>
        <w:tc>
          <w:tcPr>
            <w:tcW w:w="3969" w:type="dxa"/>
            <w:tcBorders>
              <w:top w:val="nil"/>
              <w:left w:val="nil"/>
              <w:bottom w:val="nil"/>
              <w:right w:val="nil"/>
            </w:tcBorders>
            <w:hideMark/>
          </w:tcPr>
          <w:p w14:paraId="304C0B93" w14:textId="77777777" w:rsidR="009C18FD" w:rsidRPr="00AF51B7" w:rsidRDefault="009C18FD">
            <w:pPr>
              <w:ind w:left="311"/>
              <w:rPr>
                <w:rFonts w:ascii="Times New Roman" w:hAnsi="Times New Roman" w:cs="Times New Roman"/>
              </w:rPr>
            </w:pPr>
            <w:r w:rsidRPr="00AF51B7">
              <w:rPr>
                <w:rFonts w:ascii="Times New Roman" w:hAnsi="Times New Roman" w:cs="Times New Roman"/>
              </w:rPr>
              <w:t xml:space="preserve">Perempuan </w:t>
            </w:r>
          </w:p>
        </w:tc>
        <w:tc>
          <w:tcPr>
            <w:tcW w:w="1842" w:type="dxa"/>
            <w:tcBorders>
              <w:top w:val="nil"/>
              <w:left w:val="nil"/>
              <w:bottom w:val="nil"/>
              <w:right w:val="nil"/>
            </w:tcBorders>
            <w:hideMark/>
          </w:tcPr>
          <w:p w14:paraId="7064C3EA" w14:textId="77777777" w:rsidR="009C18FD" w:rsidRPr="00AF51B7" w:rsidRDefault="009C18FD">
            <w:pPr>
              <w:jc w:val="center"/>
              <w:rPr>
                <w:rFonts w:ascii="Times New Roman" w:hAnsi="Times New Roman" w:cs="Times New Roman"/>
              </w:rPr>
            </w:pPr>
            <w:r w:rsidRPr="00AF51B7">
              <w:rPr>
                <w:rFonts w:ascii="Times New Roman" w:hAnsi="Times New Roman" w:cs="Times New Roman"/>
              </w:rPr>
              <w:t>24</w:t>
            </w:r>
          </w:p>
        </w:tc>
        <w:tc>
          <w:tcPr>
            <w:tcW w:w="1701" w:type="dxa"/>
            <w:tcBorders>
              <w:top w:val="nil"/>
              <w:left w:val="nil"/>
              <w:bottom w:val="nil"/>
              <w:right w:val="nil"/>
            </w:tcBorders>
            <w:hideMark/>
          </w:tcPr>
          <w:p w14:paraId="64BCED14" w14:textId="2ACABA74" w:rsidR="009C18FD" w:rsidRPr="00AF51B7" w:rsidRDefault="009C18FD">
            <w:pPr>
              <w:jc w:val="center"/>
              <w:rPr>
                <w:rFonts w:ascii="Times New Roman" w:hAnsi="Times New Roman" w:cs="Times New Roman"/>
              </w:rPr>
            </w:pPr>
            <w:r w:rsidRPr="00AF51B7">
              <w:rPr>
                <w:rFonts w:ascii="Times New Roman" w:hAnsi="Times New Roman" w:cs="Times New Roman"/>
              </w:rPr>
              <w:t>5</w:t>
            </w:r>
            <w:r w:rsidR="007A706F">
              <w:rPr>
                <w:rFonts w:ascii="Times New Roman" w:hAnsi="Times New Roman" w:cs="Times New Roman"/>
              </w:rPr>
              <w:t>5</w:t>
            </w:r>
            <w:r w:rsidRPr="00AF51B7">
              <w:rPr>
                <w:rFonts w:ascii="Times New Roman" w:hAnsi="Times New Roman" w:cs="Times New Roman"/>
              </w:rPr>
              <w:t>,</w:t>
            </w:r>
            <w:r w:rsidR="007A706F">
              <w:rPr>
                <w:rFonts w:ascii="Times New Roman" w:hAnsi="Times New Roman" w:cs="Times New Roman"/>
              </w:rPr>
              <w:t>8</w:t>
            </w:r>
          </w:p>
        </w:tc>
      </w:tr>
      <w:tr w:rsidR="009C18FD" w:rsidRPr="00AF51B7" w14:paraId="477193EA" w14:textId="77777777" w:rsidTr="00DA74AC">
        <w:trPr>
          <w:jc w:val="center"/>
        </w:trPr>
        <w:tc>
          <w:tcPr>
            <w:tcW w:w="3969" w:type="dxa"/>
            <w:tcBorders>
              <w:top w:val="nil"/>
              <w:left w:val="nil"/>
              <w:bottom w:val="nil"/>
              <w:right w:val="nil"/>
            </w:tcBorders>
            <w:hideMark/>
          </w:tcPr>
          <w:p w14:paraId="33C1A02B" w14:textId="77777777" w:rsidR="009C18FD" w:rsidRPr="00AF51B7" w:rsidRDefault="009C18FD">
            <w:pPr>
              <w:rPr>
                <w:rFonts w:ascii="Times New Roman" w:hAnsi="Times New Roman" w:cs="Times New Roman"/>
              </w:rPr>
            </w:pPr>
            <w:r w:rsidRPr="00AF51B7">
              <w:rPr>
                <w:rFonts w:ascii="Times New Roman" w:hAnsi="Times New Roman" w:cs="Times New Roman"/>
              </w:rPr>
              <w:t>Penyakit penyerta</w:t>
            </w:r>
          </w:p>
        </w:tc>
        <w:tc>
          <w:tcPr>
            <w:tcW w:w="1842" w:type="dxa"/>
            <w:tcBorders>
              <w:top w:val="nil"/>
              <w:left w:val="nil"/>
              <w:bottom w:val="nil"/>
              <w:right w:val="nil"/>
            </w:tcBorders>
          </w:tcPr>
          <w:p w14:paraId="262A51D6" w14:textId="77777777" w:rsidR="009C18FD" w:rsidRPr="00AF51B7" w:rsidRDefault="009C18FD">
            <w:pPr>
              <w:jc w:val="center"/>
              <w:rPr>
                <w:rFonts w:ascii="Times New Roman" w:hAnsi="Times New Roman" w:cs="Times New Roman"/>
              </w:rPr>
            </w:pPr>
          </w:p>
        </w:tc>
        <w:tc>
          <w:tcPr>
            <w:tcW w:w="1701" w:type="dxa"/>
            <w:tcBorders>
              <w:top w:val="nil"/>
              <w:left w:val="nil"/>
              <w:bottom w:val="nil"/>
              <w:right w:val="nil"/>
            </w:tcBorders>
          </w:tcPr>
          <w:p w14:paraId="40924BC5" w14:textId="77777777" w:rsidR="009C18FD" w:rsidRPr="00AF51B7" w:rsidRDefault="009C18FD">
            <w:pPr>
              <w:jc w:val="center"/>
              <w:rPr>
                <w:rFonts w:ascii="Times New Roman" w:hAnsi="Times New Roman" w:cs="Times New Roman"/>
              </w:rPr>
            </w:pPr>
          </w:p>
        </w:tc>
      </w:tr>
      <w:tr w:rsidR="009C18FD" w:rsidRPr="00AF51B7" w14:paraId="4BDF91D1" w14:textId="77777777" w:rsidTr="00DA74AC">
        <w:trPr>
          <w:jc w:val="center"/>
        </w:trPr>
        <w:tc>
          <w:tcPr>
            <w:tcW w:w="3969" w:type="dxa"/>
            <w:tcBorders>
              <w:top w:val="nil"/>
              <w:left w:val="nil"/>
              <w:bottom w:val="nil"/>
              <w:right w:val="nil"/>
            </w:tcBorders>
            <w:hideMark/>
          </w:tcPr>
          <w:p w14:paraId="6B445F8E" w14:textId="77777777" w:rsidR="009C18FD" w:rsidRPr="00AF51B7" w:rsidRDefault="009C18FD">
            <w:pPr>
              <w:ind w:left="311"/>
              <w:rPr>
                <w:rFonts w:ascii="Times New Roman" w:hAnsi="Times New Roman" w:cs="Times New Roman"/>
              </w:rPr>
            </w:pPr>
            <w:r w:rsidRPr="00AF51B7">
              <w:rPr>
                <w:rFonts w:ascii="Times New Roman" w:hAnsi="Times New Roman" w:cs="Times New Roman"/>
              </w:rPr>
              <w:t>Ada</w:t>
            </w:r>
          </w:p>
        </w:tc>
        <w:tc>
          <w:tcPr>
            <w:tcW w:w="1842" w:type="dxa"/>
            <w:tcBorders>
              <w:top w:val="nil"/>
              <w:left w:val="nil"/>
              <w:bottom w:val="nil"/>
              <w:right w:val="nil"/>
            </w:tcBorders>
            <w:hideMark/>
          </w:tcPr>
          <w:p w14:paraId="3912CBD7" w14:textId="69C94D4B" w:rsidR="009C18FD" w:rsidRPr="00AF51B7" w:rsidRDefault="009C18FD">
            <w:pPr>
              <w:jc w:val="center"/>
              <w:rPr>
                <w:rFonts w:ascii="Times New Roman" w:hAnsi="Times New Roman" w:cs="Times New Roman"/>
              </w:rPr>
            </w:pPr>
            <w:r w:rsidRPr="00AF51B7">
              <w:rPr>
                <w:rFonts w:ascii="Times New Roman" w:hAnsi="Times New Roman" w:cs="Times New Roman"/>
              </w:rPr>
              <w:t>1</w:t>
            </w:r>
            <w:r w:rsidR="007A706F">
              <w:rPr>
                <w:rFonts w:ascii="Times New Roman" w:hAnsi="Times New Roman" w:cs="Times New Roman"/>
              </w:rPr>
              <w:t>8</w:t>
            </w:r>
          </w:p>
        </w:tc>
        <w:tc>
          <w:tcPr>
            <w:tcW w:w="1701" w:type="dxa"/>
            <w:tcBorders>
              <w:top w:val="nil"/>
              <w:left w:val="nil"/>
              <w:bottom w:val="nil"/>
              <w:right w:val="nil"/>
            </w:tcBorders>
            <w:hideMark/>
          </w:tcPr>
          <w:p w14:paraId="2122B752" w14:textId="270A054D" w:rsidR="009C18FD" w:rsidRPr="00AF51B7" w:rsidRDefault="009C18FD">
            <w:pPr>
              <w:jc w:val="center"/>
              <w:rPr>
                <w:rFonts w:ascii="Times New Roman" w:hAnsi="Times New Roman" w:cs="Times New Roman"/>
              </w:rPr>
            </w:pPr>
            <w:r w:rsidRPr="00AF51B7">
              <w:rPr>
                <w:rFonts w:ascii="Times New Roman" w:hAnsi="Times New Roman" w:cs="Times New Roman"/>
              </w:rPr>
              <w:t>4</w:t>
            </w:r>
            <w:r w:rsidR="007A706F">
              <w:rPr>
                <w:rFonts w:ascii="Times New Roman" w:hAnsi="Times New Roman" w:cs="Times New Roman"/>
              </w:rPr>
              <w:t>1</w:t>
            </w:r>
            <w:r w:rsidRPr="00AF51B7">
              <w:rPr>
                <w:rFonts w:ascii="Times New Roman" w:hAnsi="Times New Roman" w:cs="Times New Roman"/>
              </w:rPr>
              <w:t>,</w:t>
            </w:r>
            <w:r w:rsidR="007A706F">
              <w:rPr>
                <w:rFonts w:ascii="Times New Roman" w:hAnsi="Times New Roman" w:cs="Times New Roman"/>
              </w:rPr>
              <w:t>9</w:t>
            </w:r>
          </w:p>
        </w:tc>
      </w:tr>
      <w:tr w:rsidR="009C18FD" w:rsidRPr="00AF51B7" w14:paraId="59E7BB0A" w14:textId="77777777" w:rsidTr="00DA74AC">
        <w:trPr>
          <w:jc w:val="center"/>
        </w:trPr>
        <w:tc>
          <w:tcPr>
            <w:tcW w:w="3969" w:type="dxa"/>
            <w:tcBorders>
              <w:top w:val="nil"/>
              <w:left w:val="nil"/>
              <w:bottom w:val="nil"/>
              <w:right w:val="nil"/>
            </w:tcBorders>
            <w:hideMark/>
          </w:tcPr>
          <w:p w14:paraId="5AE9CE46" w14:textId="77777777" w:rsidR="009C18FD" w:rsidRPr="00AF51B7" w:rsidRDefault="009C18FD">
            <w:pPr>
              <w:ind w:left="311"/>
              <w:rPr>
                <w:rFonts w:ascii="Times New Roman" w:hAnsi="Times New Roman" w:cs="Times New Roman"/>
              </w:rPr>
            </w:pPr>
            <w:r w:rsidRPr="00AF51B7">
              <w:rPr>
                <w:rFonts w:ascii="Times New Roman" w:hAnsi="Times New Roman" w:cs="Times New Roman"/>
              </w:rPr>
              <w:t>Tidak ada</w:t>
            </w:r>
          </w:p>
        </w:tc>
        <w:tc>
          <w:tcPr>
            <w:tcW w:w="1842" w:type="dxa"/>
            <w:tcBorders>
              <w:top w:val="nil"/>
              <w:left w:val="nil"/>
              <w:bottom w:val="nil"/>
              <w:right w:val="nil"/>
            </w:tcBorders>
            <w:hideMark/>
          </w:tcPr>
          <w:p w14:paraId="569B3AFB" w14:textId="77777777" w:rsidR="009C18FD" w:rsidRPr="00AF51B7" w:rsidRDefault="009C18FD">
            <w:pPr>
              <w:jc w:val="center"/>
              <w:rPr>
                <w:rFonts w:ascii="Times New Roman" w:hAnsi="Times New Roman" w:cs="Times New Roman"/>
              </w:rPr>
            </w:pPr>
            <w:r w:rsidRPr="00AF51B7">
              <w:rPr>
                <w:rFonts w:ascii="Times New Roman" w:hAnsi="Times New Roman" w:cs="Times New Roman"/>
              </w:rPr>
              <w:t>25</w:t>
            </w:r>
          </w:p>
        </w:tc>
        <w:tc>
          <w:tcPr>
            <w:tcW w:w="1701" w:type="dxa"/>
            <w:tcBorders>
              <w:top w:val="nil"/>
              <w:left w:val="nil"/>
              <w:bottom w:val="nil"/>
              <w:right w:val="nil"/>
            </w:tcBorders>
            <w:hideMark/>
          </w:tcPr>
          <w:p w14:paraId="1C328A13" w14:textId="6D5DD30D" w:rsidR="009C18FD" w:rsidRPr="00AF51B7" w:rsidRDefault="009C18FD">
            <w:pPr>
              <w:jc w:val="center"/>
              <w:rPr>
                <w:rFonts w:ascii="Times New Roman" w:hAnsi="Times New Roman" w:cs="Times New Roman"/>
              </w:rPr>
            </w:pPr>
            <w:r w:rsidRPr="00AF51B7">
              <w:rPr>
                <w:rFonts w:ascii="Times New Roman" w:hAnsi="Times New Roman" w:cs="Times New Roman"/>
              </w:rPr>
              <w:t>5</w:t>
            </w:r>
            <w:r w:rsidR="007A706F">
              <w:rPr>
                <w:rFonts w:ascii="Times New Roman" w:hAnsi="Times New Roman" w:cs="Times New Roman"/>
              </w:rPr>
              <w:t>8</w:t>
            </w:r>
            <w:r w:rsidRPr="00AF51B7">
              <w:rPr>
                <w:rFonts w:ascii="Times New Roman" w:hAnsi="Times New Roman" w:cs="Times New Roman"/>
              </w:rPr>
              <w:t>,</w:t>
            </w:r>
            <w:r w:rsidR="007A706F">
              <w:rPr>
                <w:rFonts w:ascii="Times New Roman" w:hAnsi="Times New Roman" w:cs="Times New Roman"/>
              </w:rPr>
              <w:t>1</w:t>
            </w:r>
          </w:p>
        </w:tc>
      </w:tr>
      <w:tr w:rsidR="009C18FD" w:rsidRPr="00AF51B7" w14:paraId="3270E040" w14:textId="77777777" w:rsidTr="00DA74AC">
        <w:trPr>
          <w:jc w:val="center"/>
        </w:trPr>
        <w:tc>
          <w:tcPr>
            <w:tcW w:w="3969" w:type="dxa"/>
            <w:tcBorders>
              <w:top w:val="nil"/>
              <w:left w:val="nil"/>
              <w:bottom w:val="nil"/>
              <w:right w:val="nil"/>
            </w:tcBorders>
            <w:hideMark/>
          </w:tcPr>
          <w:p w14:paraId="29FF5B0E" w14:textId="77777777" w:rsidR="009C18FD" w:rsidRPr="00AF51B7" w:rsidRDefault="009C18FD">
            <w:pPr>
              <w:rPr>
                <w:rFonts w:ascii="Times New Roman" w:hAnsi="Times New Roman" w:cs="Times New Roman"/>
              </w:rPr>
            </w:pPr>
            <w:r w:rsidRPr="00AF51B7">
              <w:rPr>
                <w:rFonts w:ascii="Times New Roman" w:hAnsi="Times New Roman" w:cs="Times New Roman"/>
                <w:i/>
              </w:rPr>
              <w:t>Charlson Comorbidity Index</w:t>
            </w:r>
            <w:r w:rsidRPr="00AF51B7">
              <w:rPr>
                <w:rFonts w:ascii="Times New Roman" w:hAnsi="Times New Roman" w:cs="Times New Roman"/>
              </w:rPr>
              <w:t xml:space="preserve"> (CCI)</w:t>
            </w:r>
          </w:p>
        </w:tc>
        <w:tc>
          <w:tcPr>
            <w:tcW w:w="1842" w:type="dxa"/>
            <w:tcBorders>
              <w:top w:val="nil"/>
              <w:left w:val="nil"/>
              <w:bottom w:val="nil"/>
              <w:right w:val="nil"/>
            </w:tcBorders>
          </w:tcPr>
          <w:p w14:paraId="4454FB8E" w14:textId="77777777" w:rsidR="009C18FD" w:rsidRPr="00AF51B7" w:rsidRDefault="009C18FD">
            <w:pPr>
              <w:jc w:val="center"/>
              <w:rPr>
                <w:rFonts w:ascii="Times New Roman" w:hAnsi="Times New Roman" w:cs="Times New Roman"/>
              </w:rPr>
            </w:pPr>
          </w:p>
        </w:tc>
        <w:tc>
          <w:tcPr>
            <w:tcW w:w="1701" w:type="dxa"/>
            <w:tcBorders>
              <w:top w:val="nil"/>
              <w:left w:val="nil"/>
              <w:bottom w:val="nil"/>
              <w:right w:val="nil"/>
            </w:tcBorders>
          </w:tcPr>
          <w:p w14:paraId="0B435DC4" w14:textId="77777777" w:rsidR="009C18FD" w:rsidRPr="00AF51B7" w:rsidRDefault="009C18FD">
            <w:pPr>
              <w:jc w:val="center"/>
              <w:rPr>
                <w:rFonts w:ascii="Times New Roman" w:hAnsi="Times New Roman" w:cs="Times New Roman"/>
              </w:rPr>
            </w:pPr>
          </w:p>
        </w:tc>
      </w:tr>
      <w:tr w:rsidR="009C18FD" w:rsidRPr="00AF51B7" w14:paraId="67EDFB42" w14:textId="77777777" w:rsidTr="00DA74AC">
        <w:trPr>
          <w:jc w:val="center"/>
        </w:trPr>
        <w:tc>
          <w:tcPr>
            <w:tcW w:w="3969" w:type="dxa"/>
            <w:tcBorders>
              <w:top w:val="nil"/>
              <w:left w:val="nil"/>
              <w:bottom w:val="nil"/>
              <w:right w:val="nil"/>
            </w:tcBorders>
            <w:hideMark/>
          </w:tcPr>
          <w:p w14:paraId="2F57CBFF" w14:textId="77777777" w:rsidR="009C18FD" w:rsidRPr="00AF51B7" w:rsidRDefault="009C18FD">
            <w:pPr>
              <w:ind w:left="311"/>
              <w:rPr>
                <w:rFonts w:ascii="Times New Roman" w:hAnsi="Times New Roman" w:cs="Times New Roman"/>
              </w:rPr>
            </w:pPr>
            <w:r w:rsidRPr="00AF51B7">
              <w:rPr>
                <w:rFonts w:ascii="Times New Roman" w:hAnsi="Times New Roman" w:cs="Times New Roman"/>
              </w:rPr>
              <w:t>≤3</w:t>
            </w:r>
          </w:p>
        </w:tc>
        <w:tc>
          <w:tcPr>
            <w:tcW w:w="1842" w:type="dxa"/>
            <w:tcBorders>
              <w:top w:val="nil"/>
              <w:left w:val="nil"/>
              <w:bottom w:val="nil"/>
              <w:right w:val="nil"/>
            </w:tcBorders>
            <w:hideMark/>
          </w:tcPr>
          <w:p w14:paraId="5639B9D2" w14:textId="29EC81F4" w:rsidR="009C18FD" w:rsidRPr="00AF51B7" w:rsidRDefault="009C18FD">
            <w:pPr>
              <w:jc w:val="center"/>
              <w:rPr>
                <w:rFonts w:ascii="Times New Roman" w:hAnsi="Times New Roman" w:cs="Times New Roman"/>
              </w:rPr>
            </w:pPr>
            <w:r w:rsidRPr="00AF51B7">
              <w:rPr>
                <w:rFonts w:ascii="Times New Roman" w:hAnsi="Times New Roman" w:cs="Times New Roman"/>
              </w:rPr>
              <w:t>4</w:t>
            </w:r>
            <w:r w:rsidR="007A706F">
              <w:rPr>
                <w:rFonts w:ascii="Times New Roman" w:hAnsi="Times New Roman" w:cs="Times New Roman"/>
              </w:rPr>
              <w:t>1</w:t>
            </w:r>
          </w:p>
        </w:tc>
        <w:tc>
          <w:tcPr>
            <w:tcW w:w="1701" w:type="dxa"/>
            <w:tcBorders>
              <w:top w:val="nil"/>
              <w:left w:val="nil"/>
              <w:bottom w:val="nil"/>
              <w:right w:val="nil"/>
            </w:tcBorders>
            <w:vAlign w:val="bottom"/>
            <w:hideMark/>
          </w:tcPr>
          <w:p w14:paraId="7F9A925D" w14:textId="2F13ABB3" w:rsidR="009C18FD" w:rsidRPr="007A706F" w:rsidRDefault="009C18FD">
            <w:pPr>
              <w:jc w:val="center"/>
              <w:rPr>
                <w:rFonts w:ascii="Times New Roman" w:hAnsi="Times New Roman" w:cs="Times New Roman"/>
              </w:rPr>
            </w:pPr>
            <w:r w:rsidRPr="007A706F">
              <w:rPr>
                <w:rFonts w:ascii="Times New Roman" w:hAnsi="Times New Roman" w:cs="Times New Roman"/>
                <w:color w:val="000000"/>
              </w:rPr>
              <w:t>95</w:t>
            </w:r>
            <w:r w:rsidR="007A706F">
              <w:rPr>
                <w:rFonts w:ascii="Times New Roman" w:hAnsi="Times New Roman" w:cs="Times New Roman"/>
                <w:color w:val="000000"/>
              </w:rPr>
              <w:t>,3</w:t>
            </w:r>
          </w:p>
        </w:tc>
      </w:tr>
      <w:tr w:rsidR="009C18FD" w:rsidRPr="00AF51B7" w14:paraId="20007E86" w14:textId="77777777" w:rsidTr="00DA74AC">
        <w:trPr>
          <w:jc w:val="center"/>
        </w:trPr>
        <w:tc>
          <w:tcPr>
            <w:tcW w:w="3969" w:type="dxa"/>
            <w:tcBorders>
              <w:top w:val="nil"/>
              <w:left w:val="nil"/>
              <w:bottom w:val="single" w:sz="4" w:space="0" w:color="auto"/>
              <w:right w:val="nil"/>
            </w:tcBorders>
            <w:hideMark/>
          </w:tcPr>
          <w:p w14:paraId="2FCD0E63" w14:textId="77777777" w:rsidR="009C18FD" w:rsidRPr="00AF51B7" w:rsidRDefault="009C18FD">
            <w:pPr>
              <w:ind w:left="311"/>
              <w:rPr>
                <w:rFonts w:ascii="Times New Roman" w:hAnsi="Times New Roman" w:cs="Times New Roman"/>
              </w:rPr>
            </w:pPr>
            <w:r w:rsidRPr="00AF51B7">
              <w:rPr>
                <w:rFonts w:ascii="Times New Roman" w:hAnsi="Times New Roman" w:cs="Times New Roman"/>
              </w:rPr>
              <w:t>≥3</w:t>
            </w:r>
          </w:p>
        </w:tc>
        <w:tc>
          <w:tcPr>
            <w:tcW w:w="1842" w:type="dxa"/>
            <w:tcBorders>
              <w:top w:val="nil"/>
              <w:left w:val="nil"/>
              <w:bottom w:val="single" w:sz="4" w:space="0" w:color="auto"/>
              <w:right w:val="nil"/>
            </w:tcBorders>
            <w:hideMark/>
          </w:tcPr>
          <w:p w14:paraId="68ADA5A8" w14:textId="77777777" w:rsidR="009C18FD" w:rsidRPr="00AF51B7" w:rsidRDefault="009C18FD">
            <w:pPr>
              <w:jc w:val="center"/>
              <w:rPr>
                <w:rFonts w:ascii="Times New Roman" w:hAnsi="Times New Roman" w:cs="Times New Roman"/>
              </w:rPr>
            </w:pPr>
            <w:r w:rsidRPr="00AF51B7">
              <w:rPr>
                <w:rFonts w:ascii="Times New Roman" w:hAnsi="Times New Roman" w:cs="Times New Roman"/>
              </w:rPr>
              <w:t>2</w:t>
            </w:r>
          </w:p>
        </w:tc>
        <w:tc>
          <w:tcPr>
            <w:tcW w:w="1701" w:type="dxa"/>
            <w:tcBorders>
              <w:top w:val="nil"/>
              <w:left w:val="nil"/>
              <w:bottom w:val="single" w:sz="4" w:space="0" w:color="auto"/>
              <w:right w:val="nil"/>
            </w:tcBorders>
            <w:vAlign w:val="bottom"/>
            <w:hideMark/>
          </w:tcPr>
          <w:p w14:paraId="68B918FD" w14:textId="1FCA319D" w:rsidR="009C18FD" w:rsidRPr="007A706F" w:rsidRDefault="009C18FD">
            <w:pPr>
              <w:jc w:val="center"/>
              <w:rPr>
                <w:rFonts w:ascii="Times New Roman" w:hAnsi="Times New Roman" w:cs="Times New Roman"/>
              </w:rPr>
            </w:pPr>
            <w:r w:rsidRPr="007A706F">
              <w:rPr>
                <w:rFonts w:ascii="Times New Roman" w:hAnsi="Times New Roman" w:cs="Times New Roman"/>
                <w:color w:val="000000"/>
              </w:rPr>
              <w:t>4</w:t>
            </w:r>
            <w:r w:rsidR="007A706F">
              <w:rPr>
                <w:rFonts w:ascii="Times New Roman" w:hAnsi="Times New Roman" w:cs="Times New Roman"/>
                <w:color w:val="000000"/>
              </w:rPr>
              <w:t>,7</w:t>
            </w:r>
          </w:p>
        </w:tc>
      </w:tr>
    </w:tbl>
    <w:p w14:paraId="73279A70" w14:textId="68F6A38D" w:rsidR="009C18FD" w:rsidRDefault="009C18FD" w:rsidP="001B1124">
      <w:pPr>
        <w:spacing w:after="0" w:line="240" w:lineRule="auto"/>
        <w:jc w:val="both"/>
        <w:rPr>
          <w:rFonts w:ascii="Times New Roman" w:hAnsi="Times New Roman" w:cs="Times New Roman"/>
          <w:sz w:val="24"/>
        </w:rPr>
      </w:pPr>
    </w:p>
    <w:p w14:paraId="699D1F00" w14:textId="77777777" w:rsidR="00DA74AC" w:rsidRDefault="00DA74AC" w:rsidP="00D35E66">
      <w:pPr>
        <w:spacing w:after="120" w:line="240" w:lineRule="auto"/>
        <w:jc w:val="both"/>
        <w:rPr>
          <w:rFonts w:ascii="Times New Roman" w:hAnsi="Times New Roman" w:cs="Times New Roman"/>
          <w:i/>
          <w:sz w:val="24"/>
        </w:rPr>
        <w:sectPr w:rsidR="00DA74AC" w:rsidSect="0076199B">
          <w:type w:val="continuous"/>
          <w:pgSz w:w="11907" w:h="16839" w:code="9"/>
          <w:pgMar w:top="1440" w:right="1440" w:bottom="1440" w:left="1440" w:header="720" w:footer="720" w:gutter="0"/>
          <w:cols w:space="720"/>
          <w:docGrid w:linePitch="360"/>
        </w:sectPr>
      </w:pPr>
    </w:p>
    <w:p w14:paraId="58ED37C1" w14:textId="6FE63874" w:rsidR="00086CD8" w:rsidRDefault="00086CD8" w:rsidP="00D35E66">
      <w:pPr>
        <w:spacing w:after="120" w:line="240" w:lineRule="auto"/>
        <w:jc w:val="both"/>
        <w:rPr>
          <w:rFonts w:ascii="Times New Roman" w:hAnsi="Times New Roman" w:cs="Times New Roman"/>
          <w:sz w:val="24"/>
        </w:rPr>
      </w:pPr>
      <w:r w:rsidRPr="006A4085">
        <w:rPr>
          <w:rFonts w:ascii="Times New Roman" w:hAnsi="Times New Roman" w:cs="Times New Roman"/>
          <w:i/>
          <w:sz w:val="24"/>
        </w:rPr>
        <w:t>Charlson Comorbidity Index</w:t>
      </w:r>
      <w:r w:rsidRPr="00086CD8">
        <w:rPr>
          <w:rFonts w:ascii="Times New Roman" w:hAnsi="Times New Roman" w:cs="Times New Roman"/>
          <w:sz w:val="24"/>
        </w:rPr>
        <w:t xml:space="preserve"> (CCI) banyak digunakan untuk memprediksi tingkat mortilitas bagi pasien yang mungkin memiliki banyak kondisi penyakit penyerta (Santos dkk., 2018). Berdasarkan tabel </w:t>
      </w:r>
      <w:r w:rsidR="006A4085">
        <w:rPr>
          <w:rFonts w:ascii="Times New Roman" w:hAnsi="Times New Roman" w:cs="Times New Roman"/>
          <w:sz w:val="24"/>
        </w:rPr>
        <w:t>1</w:t>
      </w:r>
      <w:r w:rsidRPr="00086CD8">
        <w:rPr>
          <w:rFonts w:ascii="Times New Roman" w:hAnsi="Times New Roman" w:cs="Times New Roman"/>
          <w:sz w:val="24"/>
        </w:rPr>
        <w:t xml:space="preserve"> menunjukkan bahwa, sampel dalam </w:t>
      </w:r>
      <w:r w:rsidRPr="00086CD8">
        <w:rPr>
          <w:rFonts w:ascii="Times New Roman" w:hAnsi="Times New Roman" w:cs="Times New Roman"/>
          <w:sz w:val="24"/>
        </w:rPr>
        <w:t>penelitian ini diperoleh 95,</w:t>
      </w:r>
      <w:r w:rsidR="00C52AC1">
        <w:rPr>
          <w:rFonts w:ascii="Times New Roman" w:hAnsi="Times New Roman" w:cs="Times New Roman"/>
          <w:sz w:val="24"/>
        </w:rPr>
        <w:t>3</w:t>
      </w:r>
      <w:r w:rsidRPr="00086CD8">
        <w:rPr>
          <w:rFonts w:ascii="Times New Roman" w:hAnsi="Times New Roman" w:cs="Times New Roman"/>
          <w:sz w:val="24"/>
        </w:rPr>
        <w:t>% (4</w:t>
      </w:r>
      <w:r w:rsidR="00C52AC1">
        <w:rPr>
          <w:rFonts w:ascii="Times New Roman" w:hAnsi="Times New Roman" w:cs="Times New Roman"/>
          <w:sz w:val="24"/>
        </w:rPr>
        <w:t>1</w:t>
      </w:r>
      <w:r w:rsidRPr="00086CD8">
        <w:rPr>
          <w:rFonts w:ascii="Times New Roman" w:hAnsi="Times New Roman" w:cs="Times New Roman"/>
          <w:sz w:val="24"/>
        </w:rPr>
        <w:t xml:space="preserve"> pasien) memiliki tingkat komorbiditas yang sangat rendah, sedangkan sisanya diperoleh 4,</w:t>
      </w:r>
      <w:r w:rsidR="00C52AC1">
        <w:rPr>
          <w:rFonts w:ascii="Times New Roman" w:hAnsi="Times New Roman" w:cs="Times New Roman"/>
          <w:sz w:val="24"/>
        </w:rPr>
        <w:t>7</w:t>
      </w:r>
      <w:r w:rsidRPr="00086CD8">
        <w:rPr>
          <w:rFonts w:ascii="Times New Roman" w:hAnsi="Times New Roman" w:cs="Times New Roman"/>
          <w:sz w:val="24"/>
        </w:rPr>
        <w:t>% (2 pasien) yang memiliki tingkat komorbiditas yang tinggi.</w:t>
      </w:r>
    </w:p>
    <w:p w14:paraId="6870062F" w14:textId="77777777" w:rsidR="00DA74AC" w:rsidRDefault="00DA74AC" w:rsidP="00AF51B7">
      <w:pPr>
        <w:spacing w:after="0" w:line="240" w:lineRule="auto"/>
        <w:jc w:val="center"/>
        <w:rPr>
          <w:rFonts w:ascii="Times New Roman" w:hAnsi="Times New Roman" w:cs="Times New Roman"/>
          <w:b/>
        </w:rPr>
        <w:sectPr w:rsidR="00DA74AC" w:rsidSect="00DA74AC">
          <w:type w:val="continuous"/>
          <w:pgSz w:w="11907" w:h="16839" w:code="9"/>
          <w:pgMar w:top="1440" w:right="1440" w:bottom="1440" w:left="1440" w:header="720" w:footer="720" w:gutter="0"/>
          <w:cols w:num="2" w:space="283"/>
          <w:docGrid w:linePitch="360"/>
        </w:sectPr>
      </w:pPr>
    </w:p>
    <w:p w14:paraId="01235C7F" w14:textId="77777777" w:rsidR="00DA74AC" w:rsidRDefault="00DA74AC" w:rsidP="00AF51B7">
      <w:pPr>
        <w:spacing w:after="0" w:line="240" w:lineRule="auto"/>
        <w:jc w:val="center"/>
        <w:rPr>
          <w:rFonts w:ascii="Times New Roman" w:hAnsi="Times New Roman" w:cs="Times New Roman"/>
          <w:b/>
        </w:rPr>
      </w:pPr>
    </w:p>
    <w:p w14:paraId="3D14B31E" w14:textId="6D5F6E9D" w:rsidR="006A4085" w:rsidRDefault="006A4085" w:rsidP="00AF51B7">
      <w:pPr>
        <w:spacing w:after="0" w:line="240" w:lineRule="auto"/>
        <w:jc w:val="center"/>
        <w:rPr>
          <w:rFonts w:ascii="Times New Roman" w:hAnsi="Times New Roman" w:cs="Times New Roman"/>
          <w:b/>
        </w:rPr>
      </w:pPr>
      <w:r w:rsidRPr="006A4085">
        <w:rPr>
          <w:rFonts w:ascii="Times New Roman" w:hAnsi="Times New Roman" w:cs="Times New Roman"/>
          <w:b/>
        </w:rPr>
        <w:t xml:space="preserve">Tabel 2. Hasil analisa karakteristik terhadap </w:t>
      </w:r>
      <w:r w:rsidRPr="006A4085">
        <w:rPr>
          <w:rFonts w:ascii="Times New Roman" w:hAnsi="Times New Roman" w:cs="Times New Roman"/>
          <w:b/>
          <w:i/>
        </w:rPr>
        <w:t>outcome</w:t>
      </w:r>
      <w:r w:rsidRPr="006A4085">
        <w:rPr>
          <w:rFonts w:ascii="Times New Roman" w:hAnsi="Times New Roman" w:cs="Times New Roman"/>
          <w:b/>
        </w:rPr>
        <w:t xml:space="preserve"> klinik</w:t>
      </w:r>
    </w:p>
    <w:tbl>
      <w:tblPr>
        <w:tblStyle w:val="TableGrid"/>
        <w:tblW w:w="7654" w:type="dxa"/>
        <w:jc w:val="center"/>
        <w:tblInd w:w="0" w:type="dxa"/>
        <w:tblLook w:val="04A0" w:firstRow="1" w:lastRow="0" w:firstColumn="1" w:lastColumn="0" w:noHBand="0" w:noVBand="1"/>
      </w:tblPr>
      <w:tblGrid>
        <w:gridCol w:w="3677"/>
        <w:gridCol w:w="1136"/>
        <w:gridCol w:w="1845"/>
        <w:gridCol w:w="996"/>
      </w:tblGrid>
      <w:tr w:rsidR="006A4085" w:rsidRPr="00AF51B7" w14:paraId="6C0E56D6" w14:textId="77777777" w:rsidTr="006A4085">
        <w:trPr>
          <w:jc w:val="center"/>
        </w:trPr>
        <w:tc>
          <w:tcPr>
            <w:tcW w:w="3677" w:type="dxa"/>
            <w:vMerge w:val="restart"/>
            <w:tcBorders>
              <w:top w:val="single" w:sz="4" w:space="0" w:color="auto"/>
              <w:left w:val="nil"/>
              <w:bottom w:val="single" w:sz="4" w:space="0" w:color="auto"/>
              <w:right w:val="nil"/>
            </w:tcBorders>
            <w:vAlign w:val="center"/>
            <w:hideMark/>
          </w:tcPr>
          <w:p w14:paraId="09B4FD1B"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Karakteristik</w:t>
            </w:r>
          </w:p>
        </w:tc>
        <w:tc>
          <w:tcPr>
            <w:tcW w:w="2981" w:type="dxa"/>
            <w:gridSpan w:val="2"/>
            <w:tcBorders>
              <w:top w:val="single" w:sz="4" w:space="0" w:color="auto"/>
              <w:left w:val="nil"/>
              <w:bottom w:val="single" w:sz="4" w:space="0" w:color="auto"/>
              <w:right w:val="nil"/>
            </w:tcBorders>
            <w:vAlign w:val="center"/>
            <w:hideMark/>
          </w:tcPr>
          <w:p w14:paraId="7F5EA5E2"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Luaran klinis</w:t>
            </w:r>
          </w:p>
        </w:tc>
        <w:tc>
          <w:tcPr>
            <w:tcW w:w="996" w:type="dxa"/>
            <w:tcBorders>
              <w:top w:val="single" w:sz="4" w:space="0" w:color="auto"/>
              <w:left w:val="nil"/>
              <w:bottom w:val="single" w:sz="4" w:space="0" w:color="auto"/>
              <w:right w:val="nil"/>
            </w:tcBorders>
            <w:vAlign w:val="center"/>
            <w:hideMark/>
          </w:tcPr>
          <w:p w14:paraId="6D0ECE54"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Nilai P</w:t>
            </w:r>
          </w:p>
        </w:tc>
      </w:tr>
      <w:tr w:rsidR="006A4085" w:rsidRPr="00AF51B7" w14:paraId="7F2CFC20" w14:textId="77777777" w:rsidTr="006A4085">
        <w:trPr>
          <w:jc w:val="center"/>
        </w:trPr>
        <w:tc>
          <w:tcPr>
            <w:tcW w:w="0" w:type="auto"/>
            <w:vMerge/>
            <w:tcBorders>
              <w:top w:val="single" w:sz="4" w:space="0" w:color="auto"/>
              <w:left w:val="nil"/>
              <w:bottom w:val="single" w:sz="4" w:space="0" w:color="auto"/>
              <w:right w:val="nil"/>
            </w:tcBorders>
            <w:vAlign w:val="center"/>
            <w:hideMark/>
          </w:tcPr>
          <w:p w14:paraId="7D26465A" w14:textId="77777777" w:rsidR="006A4085" w:rsidRPr="00AF51B7" w:rsidRDefault="006A4085">
            <w:pPr>
              <w:rPr>
                <w:rFonts w:ascii="Times New Roman" w:hAnsi="Times New Roman" w:cs="Times New Roman"/>
              </w:rPr>
            </w:pPr>
          </w:p>
        </w:tc>
        <w:tc>
          <w:tcPr>
            <w:tcW w:w="1136" w:type="dxa"/>
            <w:tcBorders>
              <w:top w:val="single" w:sz="4" w:space="0" w:color="auto"/>
              <w:left w:val="nil"/>
              <w:bottom w:val="single" w:sz="4" w:space="0" w:color="auto"/>
              <w:right w:val="nil"/>
            </w:tcBorders>
            <w:vAlign w:val="center"/>
            <w:hideMark/>
          </w:tcPr>
          <w:p w14:paraId="4065D937"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Membaik</w:t>
            </w:r>
          </w:p>
        </w:tc>
        <w:tc>
          <w:tcPr>
            <w:tcW w:w="1845" w:type="dxa"/>
            <w:tcBorders>
              <w:top w:val="single" w:sz="4" w:space="0" w:color="auto"/>
              <w:left w:val="nil"/>
              <w:bottom w:val="single" w:sz="4" w:space="0" w:color="auto"/>
              <w:right w:val="nil"/>
            </w:tcBorders>
            <w:vAlign w:val="center"/>
            <w:hideMark/>
          </w:tcPr>
          <w:p w14:paraId="1E4AE9D3"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Tidak membaik</w:t>
            </w:r>
          </w:p>
        </w:tc>
        <w:tc>
          <w:tcPr>
            <w:tcW w:w="996" w:type="dxa"/>
            <w:tcBorders>
              <w:top w:val="single" w:sz="4" w:space="0" w:color="auto"/>
              <w:left w:val="nil"/>
              <w:bottom w:val="single" w:sz="4" w:space="0" w:color="auto"/>
              <w:right w:val="nil"/>
            </w:tcBorders>
          </w:tcPr>
          <w:p w14:paraId="3AF90B22" w14:textId="77777777" w:rsidR="006A4085" w:rsidRPr="00AF51B7" w:rsidRDefault="006A4085">
            <w:pPr>
              <w:jc w:val="both"/>
              <w:rPr>
                <w:rFonts w:ascii="Times New Roman" w:hAnsi="Times New Roman" w:cs="Times New Roman"/>
              </w:rPr>
            </w:pPr>
          </w:p>
        </w:tc>
      </w:tr>
      <w:tr w:rsidR="006A4085" w:rsidRPr="00AF51B7" w14:paraId="33FDCD9A" w14:textId="77777777" w:rsidTr="006A4085">
        <w:trPr>
          <w:jc w:val="center"/>
        </w:trPr>
        <w:tc>
          <w:tcPr>
            <w:tcW w:w="3677" w:type="dxa"/>
            <w:tcBorders>
              <w:top w:val="single" w:sz="4" w:space="0" w:color="auto"/>
              <w:left w:val="nil"/>
              <w:bottom w:val="single" w:sz="4" w:space="0" w:color="auto"/>
              <w:right w:val="nil"/>
            </w:tcBorders>
            <w:hideMark/>
          </w:tcPr>
          <w:p w14:paraId="7BD16396" w14:textId="77777777" w:rsidR="006A4085" w:rsidRPr="00AF51B7" w:rsidRDefault="006A4085">
            <w:pPr>
              <w:jc w:val="both"/>
              <w:rPr>
                <w:rFonts w:ascii="Times New Roman" w:hAnsi="Times New Roman" w:cs="Times New Roman"/>
              </w:rPr>
            </w:pPr>
            <w:r w:rsidRPr="00AF51B7">
              <w:rPr>
                <w:rFonts w:ascii="Times New Roman" w:hAnsi="Times New Roman" w:cs="Times New Roman"/>
              </w:rPr>
              <w:t>Usia (tahun)</w:t>
            </w:r>
          </w:p>
        </w:tc>
        <w:tc>
          <w:tcPr>
            <w:tcW w:w="1136" w:type="dxa"/>
            <w:tcBorders>
              <w:top w:val="single" w:sz="4" w:space="0" w:color="auto"/>
              <w:left w:val="nil"/>
              <w:bottom w:val="single" w:sz="4" w:space="0" w:color="auto"/>
              <w:right w:val="nil"/>
            </w:tcBorders>
          </w:tcPr>
          <w:p w14:paraId="2AE67D63" w14:textId="77777777" w:rsidR="006A4085" w:rsidRPr="00AF51B7" w:rsidRDefault="006A4085">
            <w:pPr>
              <w:jc w:val="both"/>
              <w:rPr>
                <w:rFonts w:ascii="Times New Roman" w:hAnsi="Times New Roman" w:cs="Times New Roman"/>
              </w:rPr>
            </w:pPr>
          </w:p>
        </w:tc>
        <w:tc>
          <w:tcPr>
            <w:tcW w:w="1845" w:type="dxa"/>
            <w:tcBorders>
              <w:top w:val="single" w:sz="4" w:space="0" w:color="auto"/>
              <w:left w:val="nil"/>
              <w:bottom w:val="single" w:sz="4" w:space="0" w:color="auto"/>
              <w:right w:val="nil"/>
            </w:tcBorders>
          </w:tcPr>
          <w:p w14:paraId="6764F73C" w14:textId="77777777" w:rsidR="006A4085" w:rsidRPr="00AF51B7" w:rsidRDefault="006A4085">
            <w:pPr>
              <w:jc w:val="both"/>
              <w:rPr>
                <w:rFonts w:ascii="Times New Roman" w:hAnsi="Times New Roman" w:cs="Times New Roman"/>
              </w:rPr>
            </w:pPr>
          </w:p>
        </w:tc>
        <w:tc>
          <w:tcPr>
            <w:tcW w:w="996" w:type="dxa"/>
            <w:tcBorders>
              <w:top w:val="single" w:sz="4" w:space="0" w:color="auto"/>
              <w:left w:val="nil"/>
              <w:bottom w:val="single" w:sz="4" w:space="0" w:color="auto"/>
              <w:right w:val="nil"/>
            </w:tcBorders>
          </w:tcPr>
          <w:p w14:paraId="276DA273" w14:textId="77777777" w:rsidR="006A4085" w:rsidRPr="00AF51B7" w:rsidRDefault="006A4085">
            <w:pPr>
              <w:jc w:val="both"/>
              <w:rPr>
                <w:rFonts w:ascii="Times New Roman" w:hAnsi="Times New Roman" w:cs="Times New Roman"/>
              </w:rPr>
            </w:pPr>
          </w:p>
        </w:tc>
      </w:tr>
      <w:tr w:rsidR="006A4085" w:rsidRPr="00AF51B7" w14:paraId="1179EA80" w14:textId="77777777" w:rsidTr="006A4085">
        <w:trPr>
          <w:jc w:val="center"/>
        </w:trPr>
        <w:tc>
          <w:tcPr>
            <w:tcW w:w="3677" w:type="dxa"/>
            <w:tcBorders>
              <w:top w:val="single" w:sz="4" w:space="0" w:color="auto"/>
              <w:left w:val="nil"/>
              <w:bottom w:val="single" w:sz="4" w:space="0" w:color="auto"/>
              <w:right w:val="nil"/>
            </w:tcBorders>
            <w:hideMark/>
          </w:tcPr>
          <w:p w14:paraId="2AC54CC9" w14:textId="77777777" w:rsidR="006A4085" w:rsidRPr="00AF51B7" w:rsidRDefault="006A4085">
            <w:pPr>
              <w:ind w:left="306"/>
              <w:jc w:val="both"/>
              <w:rPr>
                <w:rFonts w:ascii="Times New Roman" w:hAnsi="Times New Roman" w:cs="Times New Roman"/>
              </w:rPr>
            </w:pPr>
            <w:r w:rsidRPr="00AF51B7">
              <w:rPr>
                <w:rFonts w:ascii="Times New Roman" w:hAnsi="Times New Roman" w:cs="Times New Roman"/>
              </w:rPr>
              <w:t>≤18</w:t>
            </w:r>
          </w:p>
        </w:tc>
        <w:tc>
          <w:tcPr>
            <w:tcW w:w="1136" w:type="dxa"/>
            <w:tcBorders>
              <w:top w:val="single" w:sz="4" w:space="0" w:color="auto"/>
              <w:left w:val="nil"/>
              <w:bottom w:val="single" w:sz="4" w:space="0" w:color="auto"/>
              <w:right w:val="nil"/>
            </w:tcBorders>
            <w:vAlign w:val="center"/>
            <w:hideMark/>
          </w:tcPr>
          <w:p w14:paraId="6E1F8B91"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5</w:t>
            </w:r>
          </w:p>
        </w:tc>
        <w:tc>
          <w:tcPr>
            <w:tcW w:w="1845" w:type="dxa"/>
            <w:tcBorders>
              <w:top w:val="single" w:sz="4" w:space="0" w:color="auto"/>
              <w:left w:val="nil"/>
              <w:bottom w:val="single" w:sz="4" w:space="0" w:color="auto"/>
              <w:right w:val="nil"/>
            </w:tcBorders>
            <w:vAlign w:val="center"/>
            <w:hideMark/>
          </w:tcPr>
          <w:p w14:paraId="4B3A1DA1"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0</w:t>
            </w:r>
          </w:p>
        </w:tc>
        <w:tc>
          <w:tcPr>
            <w:tcW w:w="996" w:type="dxa"/>
            <w:tcBorders>
              <w:top w:val="single" w:sz="4" w:space="0" w:color="auto"/>
              <w:left w:val="nil"/>
              <w:bottom w:val="single" w:sz="4" w:space="0" w:color="auto"/>
              <w:right w:val="nil"/>
            </w:tcBorders>
            <w:vAlign w:val="center"/>
            <w:hideMark/>
          </w:tcPr>
          <w:p w14:paraId="0F8F8F52" w14:textId="41A5172C" w:rsidR="006A4085" w:rsidRPr="00AF51B7" w:rsidRDefault="006A4085">
            <w:pPr>
              <w:jc w:val="center"/>
              <w:rPr>
                <w:rFonts w:ascii="Times New Roman" w:hAnsi="Times New Roman" w:cs="Times New Roman"/>
              </w:rPr>
            </w:pPr>
            <w:r w:rsidRPr="00AF51B7">
              <w:rPr>
                <w:rFonts w:ascii="Times New Roman" w:hAnsi="Times New Roman" w:cs="Times New Roman"/>
              </w:rPr>
              <w:t>0,1</w:t>
            </w:r>
            <w:r w:rsidR="00C52AC1">
              <w:rPr>
                <w:rFonts w:ascii="Times New Roman" w:hAnsi="Times New Roman" w:cs="Times New Roman"/>
              </w:rPr>
              <w:t>39</w:t>
            </w:r>
            <w:r w:rsidRPr="00AF51B7">
              <w:rPr>
                <w:rFonts w:ascii="Times New Roman" w:hAnsi="Times New Roman" w:cs="Times New Roman"/>
              </w:rPr>
              <w:t>**</w:t>
            </w:r>
          </w:p>
        </w:tc>
      </w:tr>
      <w:tr w:rsidR="006A4085" w:rsidRPr="00AF51B7" w14:paraId="63273FA9" w14:textId="77777777" w:rsidTr="006A4085">
        <w:trPr>
          <w:jc w:val="center"/>
        </w:trPr>
        <w:tc>
          <w:tcPr>
            <w:tcW w:w="3677" w:type="dxa"/>
            <w:tcBorders>
              <w:top w:val="single" w:sz="4" w:space="0" w:color="auto"/>
              <w:left w:val="nil"/>
              <w:bottom w:val="single" w:sz="4" w:space="0" w:color="auto"/>
              <w:right w:val="nil"/>
            </w:tcBorders>
            <w:hideMark/>
          </w:tcPr>
          <w:p w14:paraId="0D25DC56" w14:textId="77777777" w:rsidR="006A4085" w:rsidRPr="00AF51B7" w:rsidRDefault="006A4085">
            <w:pPr>
              <w:ind w:left="306"/>
              <w:jc w:val="both"/>
              <w:rPr>
                <w:rFonts w:ascii="Times New Roman" w:hAnsi="Times New Roman" w:cs="Times New Roman"/>
              </w:rPr>
            </w:pPr>
            <w:r w:rsidRPr="00AF51B7">
              <w:rPr>
                <w:rFonts w:ascii="Times New Roman" w:hAnsi="Times New Roman" w:cs="Times New Roman"/>
              </w:rPr>
              <w:t>≥18</w:t>
            </w:r>
          </w:p>
        </w:tc>
        <w:tc>
          <w:tcPr>
            <w:tcW w:w="1136" w:type="dxa"/>
            <w:tcBorders>
              <w:top w:val="single" w:sz="4" w:space="0" w:color="auto"/>
              <w:left w:val="nil"/>
              <w:bottom w:val="single" w:sz="4" w:space="0" w:color="auto"/>
              <w:right w:val="nil"/>
            </w:tcBorders>
            <w:vAlign w:val="center"/>
            <w:hideMark/>
          </w:tcPr>
          <w:p w14:paraId="00828CB0"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26</w:t>
            </w:r>
          </w:p>
        </w:tc>
        <w:tc>
          <w:tcPr>
            <w:tcW w:w="1845" w:type="dxa"/>
            <w:tcBorders>
              <w:top w:val="single" w:sz="4" w:space="0" w:color="auto"/>
              <w:left w:val="nil"/>
              <w:bottom w:val="single" w:sz="4" w:space="0" w:color="auto"/>
              <w:right w:val="nil"/>
            </w:tcBorders>
            <w:vAlign w:val="center"/>
            <w:hideMark/>
          </w:tcPr>
          <w:p w14:paraId="2B5BED51" w14:textId="12A15587" w:rsidR="006A4085" w:rsidRPr="00AF51B7" w:rsidRDefault="006A4085">
            <w:pPr>
              <w:jc w:val="center"/>
              <w:rPr>
                <w:rFonts w:ascii="Times New Roman" w:hAnsi="Times New Roman" w:cs="Times New Roman"/>
              </w:rPr>
            </w:pPr>
            <w:r w:rsidRPr="00AF51B7">
              <w:rPr>
                <w:rFonts w:ascii="Times New Roman" w:hAnsi="Times New Roman" w:cs="Times New Roman"/>
              </w:rPr>
              <w:t>1</w:t>
            </w:r>
            <w:r w:rsidR="00C52AC1">
              <w:rPr>
                <w:rFonts w:ascii="Times New Roman" w:hAnsi="Times New Roman" w:cs="Times New Roman"/>
              </w:rPr>
              <w:t>2</w:t>
            </w:r>
          </w:p>
        </w:tc>
        <w:tc>
          <w:tcPr>
            <w:tcW w:w="996" w:type="dxa"/>
            <w:tcBorders>
              <w:top w:val="single" w:sz="4" w:space="0" w:color="auto"/>
              <w:left w:val="nil"/>
              <w:bottom w:val="single" w:sz="4" w:space="0" w:color="auto"/>
              <w:right w:val="nil"/>
            </w:tcBorders>
            <w:vAlign w:val="center"/>
          </w:tcPr>
          <w:p w14:paraId="00AC0ACE" w14:textId="77777777" w:rsidR="006A4085" w:rsidRPr="00AF51B7" w:rsidRDefault="006A4085">
            <w:pPr>
              <w:jc w:val="center"/>
              <w:rPr>
                <w:rFonts w:ascii="Times New Roman" w:hAnsi="Times New Roman" w:cs="Times New Roman"/>
              </w:rPr>
            </w:pPr>
          </w:p>
        </w:tc>
      </w:tr>
      <w:tr w:rsidR="006A4085" w:rsidRPr="00AF51B7" w14:paraId="40C8863F" w14:textId="77777777" w:rsidTr="006A4085">
        <w:trPr>
          <w:jc w:val="center"/>
        </w:trPr>
        <w:tc>
          <w:tcPr>
            <w:tcW w:w="3677" w:type="dxa"/>
            <w:tcBorders>
              <w:top w:val="single" w:sz="4" w:space="0" w:color="auto"/>
              <w:left w:val="nil"/>
              <w:bottom w:val="single" w:sz="4" w:space="0" w:color="auto"/>
              <w:right w:val="nil"/>
            </w:tcBorders>
            <w:hideMark/>
          </w:tcPr>
          <w:p w14:paraId="73C22F24" w14:textId="77777777" w:rsidR="006A4085" w:rsidRPr="00AF51B7" w:rsidRDefault="006A4085">
            <w:pPr>
              <w:jc w:val="both"/>
              <w:rPr>
                <w:rFonts w:ascii="Times New Roman" w:hAnsi="Times New Roman" w:cs="Times New Roman"/>
              </w:rPr>
            </w:pPr>
            <w:r w:rsidRPr="00AF51B7">
              <w:rPr>
                <w:rFonts w:ascii="Times New Roman" w:hAnsi="Times New Roman" w:cs="Times New Roman"/>
              </w:rPr>
              <w:t>Jenis kelamin</w:t>
            </w:r>
          </w:p>
        </w:tc>
        <w:tc>
          <w:tcPr>
            <w:tcW w:w="1136" w:type="dxa"/>
            <w:tcBorders>
              <w:top w:val="single" w:sz="4" w:space="0" w:color="auto"/>
              <w:left w:val="nil"/>
              <w:bottom w:val="single" w:sz="4" w:space="0" w:color="auto"/>
              <w:right w:val="nil"/>
            </w:tcBorders>
            <w:vAlign w:val="center"/>
          </w:tcPr>
          <w:p w14:paraId="7B97659F" w14:textId="77777777" w:rsidR="006A4085" w:rsidRPr="00AF51B7" w:rsidRDefault="006A4085">
            <w:pPr>
              <w:jc w:val="center"/>
              <w:rPr>
                <w:rFonts w:ascii="Times New Roman" w:hAnsi="Times New Roman" w:cs="Times New Roman"/>
              </w:rPr>
            </w:pPr>
          </w:p>
        </w:tc>
        <w:tc>
          <w:tcPr>
            <w:tcW w:w="1845" w:type="dxa"/>
            <w:tcBorders>
              <w:top w:val="single" w:sz="4" w:space="0" w:color="auto"/>
              <w:left w:val="nil"/>
              <w:bottom w:val="single" w:sz="4" w:space="0" w:color="auto"/>
              <w:right w:val="nil"/>
            </w:tcBorders>
            <w:vAlign w:val="center"/>
          </w:tcPr>
          <w:p w14:paraId="7A22742D" w14:textId="77777777" w:rsidR="006A4085" w:rsidRPr="00AF51B7" w:rsidRDefault="006A4085">
            <w:pPr>
              <w:jc w:val="center"/>
              <w:rPr>
                <w:rFonts w:ascii="Times New Roman" w:hAnsi="Times New Roman" w:cs="Times New Roman"/>
              </w:rPr>
            </w:pPr>
          </w:p>
        </w:tc>
        <w:tc>
          <w:tcPr>
            <w:tcW w:w="996" w:type="dxa"/>
            <w:tcBorders>
              <w:top w:val="single" w:sz="4" w:space="0" w:color="auto"/>
              <w:left w:val="nil"/>
              <w:bottom w:val="single" w:sz="4" w:space="0" w:color="auto"/>
              <w:right w:val="nil"/>
            </w:tcBorders>
            <w:vAlign w:val="center"/>
          </w:tcPr>
          <w:p w14:paraId="16CFE673" w14:textId="77777777" w:rsidR="006A4085" w:rsidRPr="00AF51B7" w:rsidRDefault="006A4085">
            <w:pPr>
              <w:jc w:val="center"/>
              <w:rPr>
                <w:rFonts w:ascii="Times New Roman" w:hAnsi="Times New Roman" w:cs="Times New Roman"/>
              </w:rPr>
            </w:pPr>
          </w:p>
        </w:tc>
      </w:tr>
      <w:tr w:rsidR="006A4085" w:rsidRPr="00AF51B7" w14:paraId="261102F5" w14:textId="77777777" w:rsidTr="006A4085">
        <w:trPr>
          <w:jc w:val="center"/>
        </w:trPr>
        <w:tc>
          <w:tcPr>
            <w:tcW w:w="3677" w:type="dxa"/>
            <w:tcBorders>
              <w:top w:val="single" w:sz="4" w:space="0" w:color="auto"/>
              <w:left w:val="nil"/>
              <w:bottom w:val="single" w:sz="4" w:space="0" w:color="auto"/>
              <w:right w:val="nil"/>
            </w:tcBorders>
            <w:hideMark/>
          </w:tcPr>
          <w:p w14:paraId="67D2E8C4" w14:textId="77777777" w:rsidR="006A4085" w:rsidRPr="00AF51B7" w:rsidRDefault="006A4085">
            <w:pPr>
              <w:ind w:left="306"/>
              <w:jc w:val="both"/>
              <w:rPr>
                <w:rFonts w:ascii="Times New Roman" w:hAnsi="Times New Roman" w:cs="Times New Roman"/>
              </w:rPr>
            </w:pPr>
            <w:r w:rsidRPr="00AF51B7">
              <w:rPr>
                <w:rFonts w:ascii="Times New Roman" w:hAnsi="Times New Roman" w:cs="Times New Roman"/>
              </w:rPr>
              <w:t>Laki-laki</w:t>
            </w:r>
          </w:p>
        </w:tc>
        <w:tc>
          <w:tcPr>
            <w:tcW w:w="1136" w:type="dxa"/>
            <w:tcBorders>
              <w:top w:val="single" w:sz="4" w:space="0" w:color="auto"/>
              <w:left w:val="nil"/>
              <w:bottom w:val="single" w:sz="4" w:space="0" w:color="auto"/>
              <w:right w:val="nil"/>
            </w:tcBorders>
            <w:vAlign w:val="center"/>
            <w:hideMark/>
          </w:tcPr>
          <w:p w14:paraId="213884CA"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15</w:t>
            </w:r>
          </w:p>
        </w:tc>
        <w:tc>
          <w:tcPr>
            <w:tcW w:w="1845" w:type="dxa"/>
            <w:tcBorders>
              <w:top w:val="single" w:sz="4" w:space="0" w:color="auto"/>
              <w:left w:val="nil"/>
              <w:bottom w:val="single" w:sz="4" w:space="0" w:color="auto"/>
              <w:right w:val="nil"/>
            </w:tcBorders>
            <w:vAlign w:val="center"/>
            <w:hideMark/>
          </w:tcPr>
          <w:p w14:paraId="104B0E34" w14:textId="04BA863F" w:rsidR="006A4085" w:rsidRPr="00AF51B7" w:rsidRDefault="00C52AC1">
            <w:pPr>
              <w:jc w:val="center"/>
              <w:rPr>
                <w:rFonts w:ascii="Times New Roman" w:hAnsi="Times New Roman" w:cs="Times New Roman"/>
              </w:rPr>
            </w:pPr>
            <w:r>
              <w:rPr>
                <w:rFonts w:ascii="Times New Roman" w:hAnsi="Times New Roman" w:cs="Times New Roman"/>
              </w:rPr>
              <w:t>4</w:t>
            </w:r>
          </w:p>
        </w:tc>
        <w:tc>
          <w:tcPr>
            <w:tcW w:w="996" w:type="dxa"/>
            <w:tcBorders>
              <w:top w:val="single" w:sz="4" w:space="0" w:color="auto"/>
              <w:left w:val="nil"/>
              <w:bottom w:val="single" w:sz="4" w:space="0" w:color="auto"/>
              <w:right w:val="nil"/>
            </w:tcBorders>
            <w:vAlign w:val="center"/>
            <w:hideMark/>
          </w:tcPr>
          <w:p w14:paraId="2A6CAC0C" w14:textId="5E9129B0" w:rsidR="006A4085" w:rsidRPr="00AF51B7" w:rsidRDefault="006A4085">
            <w:pPr>
              <w:jc w:val="center"/>
              <w:rPr>
                <w:rFonts w:ascii="Times New Roman" w:hAnsi="Times New Roman" w:cs="Times New Roman"/>
              </w:rPr>
            </w:pPr>
            <w:r w:rsidRPr="00AF51B7">
              <w:rPr>
                <w:rFonts w:ascii="Times New Roman" w:hAnsi="Times New Roman" w:cs="Times New Roman"/>
              </w:rPr>
              <w:t>0,</w:t>
            </w:r>
            <w:r w:rsidR="00C52AC1">
              <w:rPr>
                <w:rFonts w:ascii="Times New Roman" w:hAnsi="Times New Roman" w:cs="Times New Roman"/>
              </w:rPr>
              <w:t>373</w:t>
            </w:r>
            <w:r w:rsidRPr="00AF51B7">
              <w:rPr>
                <w:rFonts w:ascii="Times New Roman" w:hAnsi="Times New Roman" w:cs="Times New Roman"/>
              </w:rPr>
              <w:t>*</w:t>
            </w:r>
            <w:r w:rsidR="00C52AC1" w:rsidRPr="00AF51B7">
              <w:rPr>
                <w:rFonts w:ascii="Times New Roman" w:hAnsi="Times New Roman" w:cs="Times New Roman"/>
              </w:rPr>
              <w:t>*</w:t>
            </w:r>
          </w:p>
        </w:tc>
      </w:tr>
      <w:tr w:rsidR="006A4085" w:rsidRPr="00AF51B7" w14:paraId="736D163B" w14:textId="77777777" w:rsidTr="006A4085">
        <w:trPr>
          <w:jc w:val="center"/>
        </w:trPr>
        <w:tc>
          <w:tcPr>
            <w:tcW w:w="3677" w:type="dxa"/>
            <w:tcBorders>
              <w:top w:val="single" w:sz="4" w:space="0" w:color="auto"/>
              <w:left w:val="nil"/>
              <w:bottom w:val="single" w:sz="4" w:space="0" w:color="auto"/>
              <w:right w:val="nil"/>
            </w:tcBorders>
            <w:hideMark/>
          </w:tcPr>
          <w:p w14:paraId="75AB2620" w14:textId="77777777" w:rsidR="006A4085" w:rsidRPr="00AF51B7" w:rsidRDefault="006A4085">
            <w:pPr>
              <w:ind w:left="306"/>
              <w:jc w:val="both"/>
              <w:rPr>
                <w:rFonts w:ascii="Times New Roman" w:hAnsi="Times New Roman" w:cs="Times New Roman"/>
              </w:rPr>
            </w:pPr>
            <w:r w:rsidRPr="00AF51B7">
              <w:rPr>
                <w:rFonts w:ascii="Times New Roman" w:hAnsi="Times New Roman" w:cs="Times New Roman"/>
              </w:rPr>
              <w:t xml:space="preserve">Perempuan </w:t>
            </w:r>
          </w:p>
        </w:tc>
        <w:tc>
          <w:tcPr>
            <w:tcW w:w="1136" w:type="dxa"/>
            <w:tcBorders>
              <w:top w:val="single" w:sz="4" w:space="0" w:color="auto"/>
              <w:left w:val="nil"/>
              <w:bottom w:val="single" w:sz="4" w:space="0" w:color="auto"/>
              <w:right w:val="nil"/>
            </w:tcBorders>
            <w:vAlign w:val="center"/>
            <w:hideMark/>
          </w:tcPr>
          <w:p w14:paraId="41E29183"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16</w:t>
            </w:r>
          </w:p>
        </w:tc>
        <w:tc>
          <w:tcPr>
            <w:tcW w:w="1845" w:type="dxa"/>
            <w:tcBorders>
              <w:top w:val="single" w:sz="4" w:space="0" w:color="auto"/>
              <w:left w:val="nil"/>
              <w:bottom w:val="single" w:sz="4" w:space="0" w:color="auto"/>
              <w:right w:val="nil"/>
            </w:tcBorders>
            <w:vAlign w:val="center"/>
            <w:hideMark/>
          </w:tcPr>
          <w:p w14:paraId="2BF51A0B"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8</w:t>
            </w:r>
          </w:p>
        </w:tc>
        <w:tc>
          <w:tcPr>
            <w:tcW w:w="996" w:type="dxa"/>
            <w:tcBorders>
              <w:top w:val="single" w:sz="4" w:space="0" w:color="auto"/>
              <w:left w:val="nil"/>
              <w:bottom w:val="single" w:sz="4" w:space="0" w:color="auto"/>
              <w:right w:val="nil"/>
            </w:tcBorders>
            <w:vAlign w:val="center"/>
          </w:tcPr>
          <w:p w14:paraId="74F4EE76" w14:textId="77777777" w:rsidR="006A4085" w:rsidRPr="00AF51B7" w:rsidRDefault="006A4085">
            <w:pPr>
              <w:jc w:val="center"/>
              <w:rPr>
                <w:rFonts w:ascii="Times New Roman" w:hAnsi="Times New Roman" w:cs="Times New Roman"/>
              </w:rPr>
            </w:pPr>
          </w:p>
        </w:tc>
      </w:tr>
      <w:tr w:rsidR="006A4085" w:rsidRPr="00AF51B7" w14:paraId="2FB1E6C4" w14:textId="77777777" w:rsidTr="006A4085">
        <w:trPr>
          <w:jc w:val="center"/>
        </w:trPr>
        <w:tc>
          <w:tcPr>
            <w:tcW w:w="3677" w:type="dxa"/>
            <w:tcBorders>
              <w:top w:val="single" w:sz="4" w:space="0" w:color="auto"/>
              <w:left w:val="nil"/>
              <w:bottom w:val="single" w:sz="4" w:space="0" w:color="auto"/>
              <w:right w:val="nil"/>
            </w:tcBorders>
            <w:hideMark/>
          </w:tcPr>
          <w:p w14:paraId="3AFACEE5" w14:textId="77777777" w:rsidR="006A4085" w:rsidRPr="00AF51B7" w:rsidRDefault="006A4085">
            <w:pPr>
              <w:jc w:val="both"/>
              <w:rPr>
                <w:rFonts w:ascii="Times New Roman" w:hAnsi="Times New Roman" w:cs="Times New Roman"/>
              </w:rPr>
            </w:pPr>
            <w:r w:rsidRPr="00AF51B7">
              <w:rPr>
                <w:rFonts w:ascii="Times New Roman" w:hAnsi="Times New Roman" w:cs="Times New Roman"/>
              </w:rPr>
              <w:t>Komorbid</w:t>
            </w:r>
          </w:p>
        </w:tc>
        <w:tc>
          <w:tcPr>
            <w:tcW w:w="1136" w:type="dxa"/>
            <w:tcBorders>
              <w:top w:val="single" w:sz="4" w:space="0" w:color="auto"/>
              <w:left w:val="nil"/>
              <w:bottom w:val="single" w:sz="4" w:space="0" w:color="auto"/>
              <w:right w:val="nil"/>
            </w:tcBorders>
            <w:vAlign w:val="center"/>
          </w:tcPr>
          <w:p w14:paraId="42DFEB9A" w14:textId="77777777" w:rsidR="006A4085" w:rsidRPr="00AF51B7" w:rsidRDefault="006A4085">
            <w:pPr>
              <w:jc w:val="center"/>
              <w:rPr>
                <w:rFonts w:ascii="Times New Roman" w:hAnsi="Times New Roman" w:cs="Times New Roman"/>
              </w:rPr>
            </w:pPr>
          </w:p>
        </w:tc>
        <w:tc>
          <w:tcPr>
            <w:tcW w:w="1845" w:type="dxa"/>
            <w:tcBorders>
              <w:top w:val="single" w:sz="4" w:space="0" w:color="auto"/>
              <w:left w:val="nil"/>
              <w:bottom w:val="single" w:sz="4" w:space="0" w:color="auto"/>
              <w:right w:val="nil"/>
            </w:tcBorders>
            <w:vAlign w:val="center"/>
          </w:tcPr>
          <w:p w14:paraId="235E4691" w14:textId="77777777" w:rsidR="006A4085" w:rsidRPr="00AF51B7" w:rsidRDefault="006A4085">
            <w:pPr>
              <w:jc w:val="center"/>
              <w:rPr>
                <w:rFonts w:ascii="Times New Roman" w:hAnsi="Times New Roman" w:cs="Times New Roman"/>
              </w:rPr>
            </w:pPr>
          </w:p>
        </w:tc>
        <w:tc>
          <w:tcPr>
            <w:tcW w:w="996" w:type="dxa"/>
            <w:tcBorders>
              <w:top w:val="single" w:sz="4" w:space="0" w:color="auto"/>
              <w:left w:val="nil"/>
              <w:bottom w:val="single" w:sz="4" w:space="0" w:color="auto"/>
              <w:right w:val="nil"/>
            </w:tcBorders>
            <w:vAlign w:val="center"/>
          </w:tcPr>
          <w:p w14:paraId="72C5F76C" w14:textId="77777777" w:rsidR="006A4085" w:rsidRPr="00AF51B7" w:rsidRDefault="006A4085">
            <w:pPr>
              <w:jc w:val="center"/>
              <w:rPr>
                <w:rFonts w:ascii="Times New Roman" w:hAnsi="Times New Roman" w:cs="Times New Roman"/>
              </w:rPr>
            </w:pPr>
          </w:p>
        </w:tc>
      </w:tr>
      <w:tr w:rsidR="006A4085" w:rsidRPr="00AF51B7" w14:paraId="270B1F04" w14:textId="77777777" w:rsidTr="006A4085">
        <w:trPr>
          <w:jc w:val="center"/>
        </w:trPr>
        <w:tc>
          <w:tcPr>
            <w:tcW w:w="3677" w:type="dxa"/>
            <w:tcBorders>
              <w:top w:val="single" w:sz="4" w:space="0" w:color="auto"/>
              <w:left w:val="nil"/>
              <w:bottom w:val="single" w:sz="4" w:space="0" w:color="auto"/>
              <w:right w:val="nil"/>
            </w:tcBorders>
            <w:hideMark/>
          </w:tcPr>
          <w:p w14:paraId="56EEC2D8" w14:textId="77777777" w:rsidR="006A4085" w:rsidRPr="00AF51B7" w:rsidRDefault="006A4085">
            <w:pPr>
              <w:ind w:left="306"/>
              <w:jc w:val="both"/>
              <w:rPr>
                <w:rFonts w:ascii="Times New Roman" w:hAnsi="Times New Roman" w:cs="Times New Roman"/>
              </w:rPr>
            </w:pPr>
            <w:r w:rsidRPr="00AF51B7">
              <w:rPr>
                <w:rFonts w:ascii="Times New Roman" w:hAnsi="Times New Roman" w:cs="Times New Roman"/>
              </w:rPr>
              <w:t>Ada</w:t>
            </w:r>
          </w:p>
        </w:tc>
        <w:tc>
          <w:tcPr>
            <w:tcW w:w="1136" w:type="dxa"/>
            <w:tcBorders>
              <w:top w:val="single" w:sz="4" w:space="0" w:color="auto"/>
              <w:left w:val="nil"/>
              <w:bottom w:val="single" w:sz="4" w:space="0" w:color="auto"/>
              <w:right w:val="nil"/>
            </w:tcBorders>
            <w:vAlign w:val="center"/>
            <w:hideMark/>
          </w:tcPr>
          <w:p w14:paraId="20B5C9EA"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11</w:t>
            </w:r>
          </w:p>
        </w:tc>
        <w:tc>
          <w:tcPr>
            <w:tcW w:w="1845" w:type="dxa"/>
            <w:tcBorders>
              <w:top w:val="single" w:sz="4" w:space="0" w:color="auto"/>
              <w:left w:val="nil"/>
              <w:bottom w:val="single" w:sz="4" w:space="0" w:color="auto"/>
              <w:right w:val="nil"/>
            </w:tcBorders>
            <w:vAlign w:val="center"/>
            <w:hideMark/>
          </w:tcPr>
          <w:p w14:paraId="790FC9A1" w14:textId="1FD6975B" w:rsidR="006A4085" w:rsidRPr="00AF51B7" w:rsidRDefault="00C52AC1">
            <w:pPr>
              <w:jc w:val="center"/>
              <w:rPr>
                <w:rFonts w:ascii="Times New Roman" w:hAnsi="Times New Roman" w:cs="Times New Roman"/>
              </w:rPr>
            </w:pPr>
            <w:r>
              <w:rPr>
                <w:rFonts w:ascii="Times New Roman" w:hAnsi="Times New Roman" w:cs="Times New Roman"/>
              </w:rPr>
              <w:t>7</w:t>
            </w:r>
          </w:p>
        </w:tc>
        <w:tc>
          <w:tcPr>
            <w:tcW w:w="996" w:type="dxa"/>
            <w:tcBorders>
              <w:top w:val="single" w:sz="4" w:space="0" w:color="auto"/>
              <w:left w:val="nil"/>
              <w:bottom w:val="single" w:sz="4" w:space="0" w:color="auto"/>
              <w:right w:val="nil"/>
            </w:tcBorders>
            <w:vAlign w:val="center"/>
            <w:hideMark/>
          </w:tcPr>
          <w:p w14:paraId="6DB72B75" w14:textId="6FE9272F" w:rsidR="006A4085" w:rsidRPr="00AF51B7" w:rsidRDefault="006A4085">
            <w:pPr>
              <w:jc w:val="center"/>
              <w:rPr>
                <w:rFonts w:ascii="Times New Roman" w:hAnsi="Times New Roman" w:cs="Times New Roman"/>
              </w:rPr>
            </w:pPr>
            <w:r w:rsidRPr="00AF51B7">
              <w:rPr>
                <w:rFonts w:ascii="Times New Roman" w:hAnsi="Times New Roman" w:cs="Times New Roman"/>
              </w:rPr>
              <w:t>0,1</w:t>
            </w:r>
            <w:r w:rsidR="00C52AC1">
              <w:rPr>
                <w:rFonts w:ascii="Times New Roman" w:hAnsi="Times New Roman" w:cs="Times New Roman"/>
              </w:rPr>
              <w:t>73</w:t>
            </w:r>
            <w:r w:rsidRPr="00AF51B7">
              <w:rPr>
                <w:rFonts w:ascii="Times New Roman" w:hAnsi="Times New Roman" w:cs="Times New Roman"/>
              </w:rPr>
              <w:t>*</w:t>
            </w:r>
            <w:r w:rsidR="00C52AC1" w:rsidRPr="00AF51B7">
              <w:rPr>
                <w:rFonts w:ascii="Times New Roman" w:hAnsi="Times New Roman" w:cs="Times New Roman"/>
              </w:rPr>
              <w:t>*</w:t>
            </w:r>
          </w:p>
        </w:tc>
      </w:tr>
      <w:tr w:rsidR="006A4085" w:rsidRPr="00AF51B7" w14:paraId="3AB8DD85" w14:textId="77777777" w:rsidTr="006A4085">
        <w:trPr>
          <w:jc w:val="center"/>
        </w:trPr>
        <w:tc>
          <w:tcPr>
            <w:tcW w:w="3677" w:type="dxa"/>
            <w:tcBorders>
              <w:top w:val="single" w:sz="4" w:space="0" w:color="auto"/>
              <w:left w:val="nil"/>
              <w:bottom w:val="single" w:sz="4" w:space="0" w:color="auto"/>
              <w:right w:val="nil"/>
            </w:tcBorders>
            <w:hideMark/>
          </w:tcPr>
          <w:p w14:paraId="70B1AB80" w14:textId="77777777" w:rsidR="006A4085" w:rsidRPr="00AF51B7" w:rsidRDefault="006A4085">
            <w:pPr>
              <w:ind w:left="306"/>
              <w:jc w:val="both"/>
              <w:rPr>
                <w:rFonts w:ascii="Times New Roman" w:hAnsi="Times New Roman" w:cs="Times New Roman"/>
              </w:rPr>
            </w:pPr>
            <w:r w:rsidRPr="00AF51B7">
              <w:rPr>
                <w:rFonts w:ascii="Times New Roman" w:hAnsi="Times New Roman" w:cs="Times New Roman"/>
              </w:rPr>
              <w:t>Tidak ada</w:t>
            </w:r>
          </w:p>
        </w:tc>
        <w:tc>
          <w:tcPr>
            <w:tcW w:w="1136" w:type="dxa"/>
            <w:tcBorders>
              <w:top w:val="single" w:sz="4" w:space="0" w:color="auto"/>
              <w:left w:val="nil"/>
              <w:bottom w:val="single" w:sz="4" w:space="0" w:color="auto"/>
              <w:right w:val="nil"/>
            </w:tcBorders>
            <w:vAlign w:val="center"/>
            <w:hideMark/>
          </w:tcPr>
          <w:p w14:paraId="6B0D3F8A"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20</w:t>
            </w:r>
          </w:p>
        </w:tc>
        <w:tc>
          <w:tcPr>
            <w:tcW w:w="1845" w:type="dxa"/>
            <w:tcBorders>
              <w:top w:val="single" w:sz="4" w:space="0" w:color="auto"/>
              <w:left w:val="nil"/>
              <w:bottom w:val="single" w:sz="4" w:space="0" w:color="auto"/>
              <w:right w:val="nil"/>
            </w:tcBorders>
            <w:vAlign w:val="center"/>
            <w:hideMark/>
          </w:tcPr>
          <w:p w14:paraId="764B7CA7"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5</w:t>
            </w:r>
          </w:p>
        </w:tc>
        <w:tc>
          <w:tcPr>
            <w:tcW w:w="996" w:type="dxa"/>
            <w:tcBorders>
              <w:top w:val="single" w:sz="4" w:space="0" w:color="auto"/>
              <w:left w:val="nil"/>
              <w:bottom w:val="single" w:sz="4" w:space="0" w:color="auto"/>
              <w:right w:val="nil"/>
            </w:tcBorders>
            <w:vAlign w:val="center"/>
          </w:tcPr>
          <w:p w14:paraId="48FA05AF" w14:textId="77777777" w:rsidR="006A4085" w:rsidRPr="00AF51B7" w:rsidRDefault="006A4085">
            <w:pPr>
              <w:jc w:val="center"/>
              <w:rPr>
                <w:rFonts w:ascii="Times New Roman" w:hAnsi="Times New Roman" w:cs="Times New Roman"/>
              </w:rPr>
            </w:pPr>
          </w:p>
        </w:tc>
      </w:tr>
      <w:tr w:rsidR="006A4085" w:rsidRPr="00AF51B7" w14:paraId="279137D2" w14:textId="77777777" w:rsidTr="006A4085">
        <w:trPr>
          <w:jc w:val="center"/>
        </w:trPr>
        <w:tc>
          <w:tcPr>
            <w:tcW w:w="3677" w:type="dxa"/>
            <w:tcBorders>
              <w:top w:val="single" w:sz="4" w:space="0" w:color="auto"/>
              <w:left w:val="nil"/>
              <w:bottom w:val="single" w:sz="4" w:space="0" w:color="auto"/>
              <w:right w:val="nil"/>
            </w:tcBorders>
            <w:hideMark/>
          </w:tcPr>
          <w:p w14:paraId="61171413" w14:textId="77777777" w:rsidR="006A4085" w:rsidRPr="00AF51B7" w:rsidRDefault="006A4085">
            <w:pPr>
              <w:jc w:val="both"/>
              <w:rPr>
                <w:rFonts w:ascii="Times New Roman" w:hAnsi="Times New Roman" w:cs="Times New Roman"/>
              </w:rPr>
            </w:pPr>
            <w:r w:rsidRPr="00AF51B7">
              <w:rPr>
                <w:rFonts w:ascii="Times New Roman" w:hAnsi="Times New Roman" w:cs="Times New Roman"/>
                <w:i/>
              </w:rPr>
              <w:t>Charlson Comorbidity Index</w:t>
            </w:r>
            <w:r w:rsidRPr="00AF51B7">
              <w:rPr>
                <w:rFonts w:ascii="Times New Roman" w:hAnsi="Times New Roman" w:cs="Times New Roman"/>
              </w:rPr>
              <w:t xml:space="preserve"> (CCI)</w:t>
            </w:r>
          </w:p>
        </w:tc>
        <w:tc>
          <w:tcPr>
            <w:tcW w:w="1136" w:type="dxa"/>
            <w:tcBorders>
              <w:top w:val="single" w:sz="4" w:space="0" w:color="auto"/>
              <w:left w:val="nil"/>
              <w:bottom w:val="single" w:sz="4" w:space="0" w:color="auto"/>
              <w:right w:val="nil"/>
            </w:tcBorders>
            <w:vAlign w:val="center"/>
          </w:tcPr>
          <w:p w14:paraId="4D6A1829" w14:textId="77777777" w:rsidR="006A4085" w:rsidRPr="00AF51B7" w:rsidRDefault="006A4085">
            <w:pPr>
              <w:jc w:val="center"/>
              <w:rPr>
                <w:rFonts w:ascii="Times New Roman" w:hAnsi="Times New Roman" w:cs="Times New Roman"/>
              </w:rPr>
            </w:pPr>
          </w:p>
        </w:tc>
        <w:tc>
          <w:tcPr>
            <w:tcW w:w="1845" w:type="dxa"/>
            <w:tcBorders>
              <w:top w:val="single" w:sz="4" w:space="0" w:color="auto"/>
              <w:left w:val="nil"/>
              <w:bottom w:val="single" w:sz="4" w:space="0" w:color="auto"/>
              <w:right w:val="nil"/>
            </w:tcBorders>
            <w:vAlign w:val="center"/>
          </w:tcPr>
          <w:p w14:paraId="7A2DAF03" w14:textId="77777777" w:rsidR="006A4085" w:rsidRPr="00AF51B7" w:rsidRDefault="006A4085">
            <w:pPr>
              <w:jc w:val="center"/>
              <w:rPr>
                <w:rFonts w:ascii="Times New Roman" w:hAnsi="Times New Roman" w:cs="Times New Roman"/>
              </w:rPr>
            </w:pPr>
          </w:p>
        </w:tc>
        <w:tc>
          <w:tcPr>
            <w:tcW w:w="996" w:type="dxa"/>
            <w:tcBorders>
              <w:top w:val="single" w:sz="4" w:space="0" w:color="auto"/>
              <w:left w:val="nil"/>
              <w:bottom w:val="single" w:sz="4" w:space="0" w:color="auto"/>
              <w:right w:val="nil"/>
            </w:tcBorders>
            <w:vAlign w:val="center"/>
          </w:tcPr>
          <w:p w14:paraId="45A0094A" w14:textId="77777777" w:rsidR="006A4085" w:rsidRPr="00AF51B7" w:rsidRDefault="006A4085">
            <w:pPr>
              <w:jc w:val="center"/>
              <w:rPr>
                <w:rFonts w:ascii="Times New Roman" w:hAnsi="Times New Roman" w:cs="Times New Roman"/>
              </w:rPr>
            </w:pPr>
          </w:p>
        </w:tc>
      </w:tr>
      <w:tr w:rsidR="006A4085" w:rsidRPr="00AF51B7" w14:paraId="0A2BDEA8" w14:textId="77777777" w:rsidTr="006A4085">
        <w:trPr>
          <w:jc w:val="center"/>
        </w:trPr>
        <w:tc>
          <w:tcPr>
            <w:tcW w:w="3677" w:type="dxa"/>
            <w:tcBorders>
              <w:top w:val="single" w:sz="4" w:space="0" w:color="auto"/>
              <w:left w:val="nil"/>
              <w:bottom w:val="single" w:sz="4" w:space="0" w:color="auto"/>
              <w:right w:val="nil"/>
            </w:tcBorders>
            <w:hideMark/>
          </w:tcPr>
          <w:p w14:paraId="09174843" w14:textId="77777777" w:rsidR="006A4085" w:rsidRPr="00AF51B7" w:rsidRDefault="006A4085">
            <w:pPr>
              <w:ind w:left="306"/>
              <w:jc w:val="both"/>
              <w:rPr>
                <w:rFonts w:ascii="Times New Roman" w:hAnsi="Times New Roman" w:cs="Times New Roman"/>
              </w:rPr>
            </w:pPr>
            <w:r w:rsidRPr="00AF51B7">
              <w:rPr>
                <w:rFonts w:ascii="Times New Roman" w:hAnsi="Times New Roman" w:cs="Times New Roman"/>
              </w:rPr>
              <w:t>≤3</w:t>
            </w:r>
          </w:p>
        </w:tc>
        <w:tc>
          <w:tcPr>
            <w:tcW w:w="1136" w:type="dxa"/>
            <w:tcBorders>
              <w:top w:val="single" w:sz="4" w:space="0" w:color="auto"/>
              <w:left w:val="nil"/>
              <w:bottom w:val="single" w:sz="4" w:space="0" w:color="auto"/>
              <w:right w:val="nil"/>
            </w:tcBorders>
            <w:vAlign w:val="center"/>
            <w:hideMark/>
          </w:tcPr>
          <w:p w14:paraId="5D3BE511"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29</w:t>
            </w:r>
          </w:p>
        </w:tc>
        <w:tc>
          <w:tcPr>
            <w:tcW w:w="1845" w:type="dxa"/>
            <w:tcBorders>
              <w:top w:val="single" w:sz="4" w:space="0" w:color="auto"/>
              <w:left w:val="nil"/>
              <w:bottom w:val="single" w:sz="4" w:space="0" w:color="auto"/>
              <w:right w:val="nil"/>
            </w:tcBorders>
            <w:vAlign w:val="center"/>
            <w:hideMark/>
          </w:tcPr>
          <w:p w14:paraId="5DCF95E4" w14:textId="777043C3" w:rsidR="006A4085" w:rsidRPr="00AF51B7" w:rsidRDefault="006A4085">
            <w:pPr>
              <w:jc w:val="center"/>
              <w:rPr>
                <w:rFonts w:ascii="Times New Roman" w:hAnsi="Times New Roman" w:cs="Times New Roman"/>
              </w:rPr>
            </w:pPr>
            <w:r w:rsidRPr="00AF51B7">
              <w:rPr>
                <w:rFonts w:ascii="Times New Roman" w:hAnsi="Times New Roman" w:cs="Times New Roman"/>
              </w:rPr>
              <w:t>1</w:t>
            </w:r>
            <w:r w:rsidR="00C52AC1">
              <w:rPr>
                <w:rFonts w:ascii="Times New Roman" w:hAnsi="Times New Roman" w:cs="Times New Roman"/>
              </w:rPr>
              <w:t>2</w:t>
            </w:r>
          </w:p>
        </w:tc>
        <w:tc>
          <w:tcPr>
            <w:tcW w:w="996" w:type="dxa"/>
            <w:tcBorders>
              <w:top w:val="single" w:sz="4" w:space="0" w:color="auto"/>
              <w:left w:val="nil"/>
              <w:bottom w:val="single" w:sz="4" w:space="0" w:color="auto"/>
              <w:right w:val="nil"/>
            </w:tcBorders>
            <w:vAlign w:val="center"/>
            <w:hideMark/>
          </w:tcPr>
          <w:p w14:paraId="7FB62810" w14:textId="7E006329" w:rsidR="006A4085" w:rsidRPr="00AF51B7" w:rsidRDefault="006A4085">
            <w:pPr>
              <w:jc w:val="center"/>
              <w:rPr>
                <w:rFonts w:ascii="Times New Roman" w:hAnsi="Times New Roman" w:cs="Times New Roman"/>
              </w:rPr>
            </w:pPr>
            <w:r w:rsidRPr="00AF51B7">
              <w:rPr>
                <w:rFonts w:ascii="Times New Roman" w:hAnsi="Times New Roman" w:cs="Times New Roman"/>
              </w:rPr>
              <w:t>0,</w:t>
            </w:r>
            <w:r w:rsidR="00C52AC1">
              <w:rPr>
                <w:rFonts w:ascii="Times New Roman" w:hAnsi="Times New Roman" w:cs="Times New Roman"/>
              </w:rPr>
              <w:t>246</w:t>
            </w:r>
            <w:r w:rsidRPr="00AF51B7">
              <w:rPr>
                <w:rFonts w:ascii="Times New Roman" w:hAnsi="Times New Roman" w:cs="Times New Roman"/>
              </w:rPr>
              <w:t>*</w:t>
            </w:r>
          </w:p>
        </w:tc>
      </w:tr>
      <w:tr w:rsidR="006A4085" w:rsidRPr="00AF51B7" w14:paraId="68E859A0" w14:textId="77777777" w:rsidTr="006A4085">
        <w:trPr>
          <w:jc w:val="center"/>
        </w:trPr>
        <w:tc>
          <w:tcPr>
            <w:tcW w:w="3677" w:type="dxa"/>
            <w:tcBorders>
              <w:top w:val="single" w:sz="4" w:space="0" w:color="auto"/>
              <w:left w:val="nil"/>
              <w:bottom w:val="single" w:sz="4" w:space="0" w:color="auto"/>
              <w:right w:val="nil"/>
            </w:tcBorders>
            <w:hideMark/>
          </w:tcPr>
          <w:p w14:paraId="50099BC9" w14:textId="77777777" w:rsidR="006A4085" w:rsidRPr="00AF51B7" w:rsidRDefault="006A4085">
            <w:pPr>
              <w:ind w:left="306"/>
              <w:jc w:val="both"/>
              <w:rPr>
                <w:rFonts w:ascii="Times New Roman" w:hAnsi="Times New Roman" w:cs="Times New Roman"/>
              </w:rPr>
            </w:pPr>
            <w:r w:rsidRPr="00AF51B7">
              <w:rPr>
                <w:rFonts w:ascii="Times New Roman" w:hAnsi="Times New Roman" w:cs="Times New Roman"/>
              </w:rPr>
              <w:t>≥3</w:t>
            </w:r>
          </w:p>
        </w:tc>
        <w:tc>
          <w:tcPr>
            <w:tcW w:w="1136" w:type="dxa"/>
            <w:tcBorders>
              <w:top w:val="single" w:sz="4" w:space="0" w:color="auto"/>
              <w:left w:val="nil"/>
              <w:bottom w:val="single" w:sz="4" w:space="0" w:color="auto"/>
              <w:right w:val="nil"/>
            </w:tcBorders>
            <w:vAlign w:val="center"/>
            <w:hideMark/>
          </w:tcPr>
          <w:p w14:paraId="1BAA562C"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2</w:t>
            </w:r>
          </w:p>
        </w:tc>
        <w:tc>
          <w:tcPr>
            <w:tcW w:w="1845" w:type="dxa"/>
            <w:tcBorders>
              <w:top w:val="single" w:sz="4" w:space="0" w:color="auto"/>
              <w:left w:val="nil"/>
              <w:bottom w:val="single" w:sz="4" w:space="0" w:color="auto"/>
              <w:right w:val="nil"/>
            </w:tcBorders>
            <w:vAlign w:val="center"/>
            <w:hideMark/>
          </w:tcPr>
          <w:p w14:paraId="70B89BE4" w14:textId="77777777" w:rsidR="006A4085" w:rsidRPr="00AF51B7" w:rsidRDefault="006A4085">
            <w:pPr>
              <w:jc w:val="center"/>
              <w:rPr>
                <w:rFonts w:ascii="Times New Roman" w:hAnsi="Times New Roman" w:cs="Times New Roman"/>
              </w:rPr>
            </w:pPr>
            <w:r w:rsidRPr="00AF51B7">
              <w:rPr>
                <w:rFonts w:ascii="Times New Roman" w:hAnsi="Times New Roman" w:cs="Times New Roman"/>
              </w:rPr>
              <w:t>0</w:t>
            </w:r>
          </w:p>
        </w:tc>
        <w:tc>
          <w:tcPr>
            <w:tcW w:w="996" w:type="dxa"/>
            <w:tcBorders>
              <w:top w:val="single" w:sz="4" w:space="0" w:color="auto"/>
              <w:left w:val="nil"/>
              <w:bottom w:val="single" w:sz="4" w:space="0" w:color="auto"/>
              <w:right w:val="nil"/>
            </w:tcBorders>
            <w:vAlign w:val="center"/>
          </w:tcPr>
          <w:p w14:paraId="754165B9" w14:textId="77777777" w:rsidR="006A4085" w:rsidRPr="00AF51B7" w:rsidRDefault="006A4085">
            <w:pPr>
              <w:jc w:val="center"/>
              <w:rPr>
                <w:rFonts w:ascii="Times New Roman" w:hAnsi="Times New Roman" w:cs="Times New Roman"/>
              </w:rPr>
            </w:pPr>
          </w:p>
        </w:tc>
      </w:tr>
    </w:tbl>
    <w:p w14:paraId="63CCF4D1" w14:textId="77777777" w:rsidR="006A4085" w:rsidRDefault="006A4085" w:rsidP="006A4085">
      <w:pPr>
        <w:tabs>
          <w:tab w:val="left" w:pos="1418"/>
        </w:tabs>
        <w:spacing w:after="0" w:line="240" w:lineRule="auto"/>
        <w:ind w:left="426"/>
        <w:jc w:val="both"/>
        <w:rPr>
          <w:rFonts w:ascii="Times New Roman" w:hAnsi="Times New Roman" w:cs="Times New Roman"/>
          <w:sz w:val="20"/>
          <w:szCs w:val="24"/>
        </w:rPr>
      </w:pPr>
      <w:r>
        <w:rPr>
          <w:rFonts w:ascii="Times New Roman" w:hAnsi="Times New Roman" w:cs="Times New Roman"/>
          <w:sz w:val="20"/>
          <w:szCs w:val="24"/>
        </w:rPr>
        <w:t>Keterangan: *Uji likelihood ratio: tidak ada perbedaan (p&gt;0,05)</w:t>
      </w:r>
    </w:p>
    <w:p w14:paraId="3F313634" w14:textId="48D8E14C" w:rsidR="006A4085" w:rsidRPr="006A4085" w:rsidRDefault="006A4085" w:rsidP="00D35E66">
      <w:pPr>
        <w:spacing w:after="120" w:line="240" w:lineRule="auto"/>
        <w:jc w:val="both"/>
        <w:rPr>
          <w:rFonts w:ascii="Times New Roman" w:hAnsi="Times New Roman" w:cs="Times New Roman"/>
        </w:rPr>
      </w:pPr>
      <w:r>
        <w:rPr>
          <w:rFonts w:ascii="Times New Roman" w:hAnsi="Times New Roman" w:cs="Times New Roman"/>
          <w:sz w:val="20"/>
          <w:szCs w:val="24"/>
        </w:rPr>
        <w:tab/>
      </w:r>
      <w:r>
        <w:rPr>
          <w:rFonts w:ascii="Times New Roman" w:hAnsi="Times New Roman" w:cs="Times New Roman"/>
          <w:sz w:val="20"/>
          <w:szCs w:val="24"/>
        </w:rPr>
        <w:tab/>
        <w:t>**Uji Chi-Square: tidak ada perbedaan (p&gt;0,05)</w:t>
      </w:r>
    </w:p>
    <w:p w14:paraId="517DE84A" w14:textId="77777777" w:rsidR="00DA74AC" w:rsidRDefault="00DA74AC" w:rsidP="00250F25">
      <w:pPr>
        <w:spacing w:line="240" w:lineRule="auto"/>
        <w:jc w:val="both"/>
        <w:rPr>
          <w:rFonts w:ascii="Times New Roman" w:hAnsi="Times New Roman" w:cs="Times New Roman"/>
          <w:sz w:val="24"/>
        </w:rPr>
        <w:sectPr w:rsidR="00DA74AC" w:rsidSect="0076199B">
          <w:type w:val="continuous"/>
          <w:pgSz w:w="11907" w:h="16839" w:code="9"/>
          <w:pgMar w:top="1440" w:right="1440" w:bottom="1440" w:left="1440" w:header="720" w:footer="720" w:gutter="0"/>
          <w:cols w:space="720"/>
          <w:docGrid w:linePitch="360"/>
        </w:sectPr>
      </w:pPr>
    </w:p>
    <w:p w14:paraId="2B496908" w14:textId="77777777" w:rsidR="00DA74AC" w:rsidRDefault="006A4085" w:rsidP="00DA74AC">
      <w:pPr>
        <w:spacing w:line="240" w:lineRule="auto"/>
        <w:jc w:val="both"/>
        <w:rPr>
          <w:rFonts w:ascii="Times New Roman" w:hAnsi="Times New Roman" w:cs="Times New Roman"/>
          <w:sz w:val="24"/>
        </w:rPr>
      </w:pPr>
      <w:r w:rsidRPr="006A4085">
        <w:rPr>
          <w:rFonts w:ascii="Times New Roman" w:hAnsi="Times New Roman" w:cs="Times New Roman"/>
          <w:sz w:val="24"/>
        </w:rPr>
        <w:t xml:space="preserve">Berdasarkan hasil analisa statistik antara variabel pengganggu dengan </w:t>
      </w:r>
      <w:r w:rsidRPr="006A4085">
        <w:rPr>
          <w:rFonts w:ascii="Times New Roman" w:hAnsi="Times New Roman" w:cs="Times New Roman"/>
          <w:i/>
          <w:sz w:val="24"/>
        </w:rPr>
        <w:t xml:space="preserve">outcome </w:t>
      </w:r>
      <w:r w:rsidRPr="006A4085">
        <w:rPr>
          <w:rFonts w:ascii="Times New Roman" w:hAnsi="Times New Roman" w:cs="Times New Roman"/>
          <w:sz w:val="24"/>
        </w:rPr>
        <w:t xml:space="preserve">klinik </w:t>
      </w:r>
      <w:r w:rsidRPr="006A4085">
        <w:rPr>
          <w:rFonts w:ascii="Times New Roman" w:hAnsi="Times New Roman" w:cs="Times New Roman"/>
          <w:sz w:val="24"/>
        </w:rPr>
        <w:t>pada pasien ISPA di puskesmas Jetis Yogyakarta selama periode bulan April-</w:t>
      </w:r>
      <w:r w:rsidRPr="006A4085">
        <w:rPr>
          <w:rFonts w:ascii="Times New Roman" w:hAnsi="Times New Roman" w:cs="Times New Roman"/>
          <w:sz w:val="24"/>
        </w:rPr>
        <w:lastRenderedPageBreak/>
        <w:t xml:space="preserve">Agustus 2019, seperti di tunjukkan pada tabel </w:t>
      </w:r>
      <w:r>
        <w:rPr>
          <w:rFonts w:ascii="Times New Roman" w:hAnsi="Times New Roman" w:cs="Times New Roman"/>
          <w:sz w:val="24"/>
        </w:rPr>
        <w:t>2</w:t>
      </w:r>
      <w:r w:rsidRPr="006A4085">
        <w:rPr>
          <w:rFonts w:ascii="Times New Roman" w:hAnsi="Times New Roman" w:cs="Times New Roman"/>
          <w:sz w:val="24"/>
        </w:rPr>
        <w:t xml:space="preserve"> yang menunjukkan bahwa tidak adanya hubungan antara sampel yang diujikan dengan faktor jenis kelamin, usia, komorbid dan </w:t>
      </w:r>
      <w:r w:rsidRPr="006A4085">
        <w:rPr>
          <w:rFonts w:ascii="Times New Roman" w:hAnsi="Times New Roman" w:cs="Times New Roman"/>
          <w:i/>
          <w:sz w:val="24"/>
        </w:rPr>
        <w:t>Charlson Comorbidity Index</w:t>
      </w:r>
      <w:r w:rsidRPr="006A4085">
        <w:rPr>
          <w:rFonts w:ascii="Times New Roman" w:hAnsi="Times New Roman" w:cs="Times New Roman"/>
          <w:sz w:val="24"/>
        </w:rPr>
        <w:t xml:space="preserve"> (CCI) dengan </w:t>
      </w:r>
      <w:r w:rsidRPr="006A4085">
        <w:rPr>
          <w:rFonts w:ascii="Times New Roman" w:hAnsi="Times New Roman" w:cs="Times New Roman"/>
          <w:i/>
          <w:sz w:val="24"/>
        </w:rPr>
        <w:t>outcome</w:t>
      </w:r>
      <w:r w:rsidRPr="006A4085">
        <w:rPr>
          <w:rFonts w:ascii="Times New Roman" w:hAnsi="Times New Roman" w:cs="Times New Roman"/>
          <w:sz w:val="24"/>
        </w:rPr>
        <w:t xml:space="preserve"> klinik. Hal ini dibuktikan dengan hasil dari uji Likelihood Ratio dengan nilai </w:t>
      </w:r>
      <w:r w:rsidR="00DA74AC">
        <w:rPr>
          <w:rFonts w:ascii="Times New Roman" w:hAnsi="Times New Roman" w:cs="Times New Roman"/>
          <w:sz w:val="24"/>
        </w:rPr>
        <w:t xml:space="preserve">   </w:t>
      </w:r>
      <w:r w:rsidR="00DA74AC" w:rsidRPr="006A4085">
        <w:rPr>
          <w:rFonts w:ascii="Times New Roman" w:hAnsi="Times New Roman" w:cs="Times New Roman"/>
          <w:sz w:val="24"/>
        </w:rPr>
        <w:t xml:space="preserve">p&gt;0,05 dan uji </w:t>
      </w:r>
      <w:r w:rsidR="00DA74AC" w:rsidRPr="006A4085">
        <w:rPr>
          <w:rFonts w:ascii="Times New Roman" w:hAnsi="Times New Roman" w:cs="Times New Roman"/>
          <w:i/>
          <w:sz w:val="24"/>
        </w:rPr>
        <w:t>Chi-Square</w:t>
      </w:r>
      <w:r w:rsidR="00DA74AC" w:rsidRPr="006A4085">
        <w:rPr>
          <w:rFonts w:ascii="Times New Roman" w:hAnsi="Times New Roman" w:cs="Times New Roman"/>
          <w:sz w:val="24"/>
        </w:rPr>
        <w:t xml:space="preserve"> dengan nilai p&gt;0,05. Sehingga dapat diartikan bahwa faktor </w:t>
      </w:r>
      <w:r w:rsidR="00DA74AC">
        <w:rPr>
          <w:rFonts w:ascii="Times New Roman" w:hAnsi="Times New Roman" w:cs="Times New Roman"/>
          <w:sz w:val="24"/>
        </w:rPr>
        <w:t>j</w:t>
      </w:r>
      <w:r w:rsidR="00DA74AC" w:rsidRPr="006A4085">
        <w:rPr>
          <w:rFonts w:ascii="Times New Roman" w:hAnsi="Times New Roman" w:cs="Times New Roman"/>
          <w:sz w:val="24"/>
        </w:rPr>
        <w:t xml:space="preserve">enis kelamin, usia, penyakit penyerta dan </w:t>
      </w:r>
      <w:r w:rsidR="00DA74AC" w:rsidRPr="006A4085">
        <w:rPr>
          <w:rFonts w:ascii="Times New Roman" w:hAnsi="Times New Roman" w:cs="Times New Roman"/>
          <w:i/>
          <w:sz w:val="24"/>
        </w:rPr>
        <w:t>Charlson Comorbidity Index</w:t>
      </w:r>
      <w:r w:rsidR="00DA74AC" w:rsidRPr="006A4085">
        <w:rPr>
          <w:rFonts w:ascii="Times New Roman" w:hAnsi="Times New Roman" w:cs="Times New Roman"/>
          <w:sz w:val="24"/>
        </w:rPr>
        <w:t xml:space="preserve"> (CCI) </w:t>
      </w:r>
      <w:r w:rsidR="00DA74AC" w:rsidRPr="006A4085">
        <w:rPr>
          <w:rFonts w:ascii="Times New Roman" w:hAnsi="Times New Roman" w:cs="Times New Roman"/>
          <w:sz w:val="24"/>
        </w:rPr>
        <w:t xml:space="preserve">pasien tidak mempengaruhi </w:t>
      </w:r>
      <w:r w:rsidR="00DA74AC" w:rsidRPr="006A4085">
        <w:rPr>
          <w:rFonts w:ascii="Times New Roman" w:hAnsi="Times New Roman" w:cs="Times New Roman"/>
          <w:i/>
          <w:sz w:val="24"/>
        </w:rPr>
        <w:t>outcome</w:t>
      </w:r>
      <w:r w:rsidR="00DA74AC" w:rsidRPr="006A4085">
        <w:rPr>
          <w:rFonts w:ascii="Times New Roman" w:hAnsi="Times New Roman" w:cs="Times New Roman"/>
          <w:sz w:val="24"/>
        </w:rPr>
        <w:t xml:space="preserve"> klinik pada pasien ISPA.</w:t>
      </w:r>
    </w:p>
    <w:p w14:paraId="3A4F1B7E" w14:textId="79F52ED0" w:rsidR="00DA74AC" w:rsidRDefault="00DA74AC" w:rsidP="00DA74AC">
      <w:pPr>
        <w:spacing w:line="240" w:lineRule="auto"/>
        <w:jc w:val="both"/>
        <w:rPr>
          <w:rFonts w:ascii="Times New Roman" w:hAnsi="Times New Roman" w:cs="Times New Roman"/>
          <w:sz w:val="24"/>
        </w:rPr>
      </w:pPr>
      <w:r w:rsidRPr="00AC5816">
        <w:rPr>
          <w:rFonts w:ascii="Times New Roman" w:hAnsi="Times New Roman" w:cs="Times New Roman"/>
          <w:sz w:val="24"/>
        </w:rPr>
        <w:t xml:space="preserve">Pada penelitian ini antibiotik yang di evaluasi adalah antibiotik empiris yang di indikasikan untuk ISPA. Jenis antibiotik empiris dan dosis yang digunakan dapat dilihat pada tabel </w:t>
      </w:r>
      <w:r>
        <w:rPr>
          <w:rFonts w:ascii="Times New Roman" w:hAnsi="Times New Roman" w:cs="Times New Roman"/>
          <w:sz w:val="24"/>
        </w:rPr>
        <w:t>3</w:t>
      </w:r>
      <w:r w:rsidRPr="00AC5816">
        <w:rPr>
          <w:rFonts w:ascii="Times New Roman" w:hAnsi="Times New Roman" w:cs="Times New Roman"/>
          <w:sz w:val="24"/>
        </w:rPr>
        <w:t xml:space="preserve">. Berdasarkan tabel </w:t>
      </w:r>
      <w:r>
        <w:rPr>
          <w:rFonts w:ascii="Times New Roman" w:hAnsi="Times New Roman" w:cs="Times New Roman"/>
          <w:sz w:val="24"/>
        </w:rPr>
        <w:t>3</w:t>
      </w:r>
      <w:r w:rsidRPr="00AC5816">
        <w:rPr>
          <w:rFonts w:ascii="Times New Roman" w:hAnsi="Times New Roman" w:cs="Times New Roman"/>
          <w:sz w:val="24"/>
        </w:rPr>
        <w:t xml:space="preserve"> tersebut menunjukkan bahwa antibiotik empiris yang digunakan pada kasus ISPA adalah amoksisilin (97,7%) dan eritromisin (2,3%) dari 4</w:t>
      </w:r>
      <w:r w:rsidR="00207FD6">
        <w:rPr>
          <w:rFonts w:ascii="Times New Roman" w:hAnsi="Times New Roman" w:cs="Times New Roman"/>
          <w:sz w:val="24"/>
        </w:rPr>
        <w:t>3</w:t>
      </w:r>
      <w:r w:rsidRPr="00AC5816">
        <w:rPr>
          <w:rFonts w:ascii="Times New Roman" w:hAnsi="Times New Roman" w:cs="Times New Roman"/>
          <w:sz w:val="24"/>
        </w:rPr>
        <w:t xml:space="preserve"> total regimen.</w:t>
      </w:r>
      <w:r>
        <w:rPr>
          <w:rFonts w:ascii="Times New Roman" w:hAnsi="Times New Roman" w:cs="Times New Roman"/>
          <w:sz w:val="24"/>
        </w:rPr>
        <w:t xml:space="preserve"> </w:t>
      </w:r>
    </w:p>
    <w:p w14:paraId="0B91E0DF" w14:textId="3BD66765" w:rsidR="00DA74AC" w:rsidRDefault="00DA74AC" w:rsidP="00250F25">
      <w:pPr>
        <w:spacing w:line="240" w:lineRule="auto"/>
        <w:jc w:val="both"/>
        <w:rPr>
          <w:rFonts w:ascii="Times New Roman" w:hAnsi="Times New Roman" w:cs="Times New Roman"/>
          <w:sz w:val="24"/>
        </w:rPr>
        <w:sectPr w:rsidR="00DA74AC" w:rsidSect="00DA74AC">
          <w:type w:val="continuous"/>
          <w:pgSz w:w="11907" w:h="16839" w:code="9"/>
          <w:pgMar w:top="1440" w:right="1440" w:bottom="1440" w:left="1440" w:header="720" w:footer="720" w:gutter="0"/>
          <w:cols w:num="2" w:space="283"/>
          <w:docGrid w:linePitch="360"/>
        </w:sectPr>
      </w:pPr>
    </w:p>
    <w:p w14:paraId="3F962F7E" w14:textId="7761E01E" w:rsidR="00C26B26" w:rsidRDefault="00605E83" w:rsidP="00AF51B7">
      <w:pPr>
        <w:spacing w:after="0" w:line="240" w:lineRule="auto"/>
        <w:jc w:val="center"/>
        <w:rPr>
          <w:rFonts w:ascii="Times New Roman" w:hAnsi="Times New Roman" w:cs="Times New Roman"/>
          <w:b/>
        </w:rPr>
      </w:pPr>
      <w:r>
        <w:rPr>
          <w:rFonts w:ascii="Times New Roman" w:hAnsi="Times New Roman" w:cs="Times New Roman"/>
          <w:b/>
        </w:rPr>
        <w:t xml:space="preserve">Tabel 3. Pola Penggunaan Antibiotik empiris pada pasien ISPA </w:t>
      </w:r>
      <w:bookmarkStart w:id="6" w:name="_Hlk19967847"/>
      <w:r>
        <w:rPr>
          <w:rFonts w:ascii="Times New Roman" w:hAnsi="Times New Roman" w:cs="Times New Roman"/>
          <w:b/>
        </w:rPr>
        <w:t>di puskesmas Jetis Yogyakarta selama periode bulan April-Agustus 2019</w:t>
      </w:r>
      <w:bookmarkEnd w:id="6"/>
    </w:p>
    <w:tbl>
      <w:tblPr>
        <w:tblStyle w:val="TableGrid"/>
        <w:tblW w:w="7421" w:type="dxa"/>
        <w:jc w:val="center"/>
        <w:tblInd w:w="0" w:type="dxa"/>
        <w:tblLook w:val="04A0" w:firstRow="1" w:lastRow="0" w:firstColumn="1" w:lastColumn="0" w:noHBand="0" w:noVBand="1"/>
      </w:tblPr>
      <w:tblGrid>
        <w:gridCol w:w="4270"/>
        <w:gridCol w:w="1764"/>
        <w:gridCol w:w="1387"/>
      </w:tblGrid>
      <w:tr w:rsidR="00605E83" w:rsidRPr="00AF51B7" w14:paraId="1C6443DE" w14:textId="77777777" w:rsidTr="00605E83">
        <w:trPr>
          <w:jc w:val="center"/>
        </w:trPr>
        <w:tc>
          <w:tcPr>
            <w:tcW w:w="4270" w:type="dxa"/>
            <w:tcBorders>
              <w:top w:val="single" w:sz="4" w:space="0" w:color="auto"/>
              <w:left w:val="nil"/>
              <w:bottom w:val="single" w:sz="4" w:space="0" w:color="auto"/>
              <w:right w:val="nil"/>
            </w:tcBorders>
            <w:vAlign w:val="center"/>
            <w:hideMark/>
          </w:tcPr>
          <w:p w14:paraId="3A866A32"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Karakteristik</w:t>
            </w:r>
          </w:p>
        </w:tc>
        <w:tc>
          <w:tcPr>
            <w:tcW w:w="1764" w:type="dxa"/>
            <w:tcBorders>
              <w:top w:val="single" w:sz="4" w:space="0" w:color="auto"/>
              <w:left w:val="nil"/>
              <w:bottom w:val="single" w:sz="4" w:space="0" w:color="auto"/>
              <w:right w:val="nil"/>
            </w:tcBorders>
            <w:vAlign w:val="center"/>
            <w:hideMark/>
          </w:tcPr>
          <w:p w14:paraId="51A4C1E0" w14:textId="6C3A0A83"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Jumlah regimen (n= 4</w:t>
            </w:r>
            <w:r w:rsidR="00207FD6">
              <w:rPr>
                <w:rFonts w:ascii="Times New Roman" w:hAnsi="Times New Roman" w:cs="Times New Roman"/>
              </w:rPr>
              <w:t>3</w:t>
            </w:r>
            <w:r w:rsidRPr="00AF51B7">
              <w:rPr>
                <w:rFonts w:ascii="Times New Roman" w:hAnsi="Times New Roman" w:cs="Times New Roman"/>
              </w:rPr>
              <w:t>)</w:t>
            </w:r>
          </w:p>
        </w:tc>
        <w:tc>
          <w:tcPr>
            <w:tcW w:w="1387" w:type="dxa"/>
            <w:tcBorders>
              <w:top w:val="single" w:sz="4" w:space="0" w:color="auto"/>
              <w:left w:val="nil"/>
              <w:bottom w:val="single" w:sz="4" w:space="0" w:color="auto"/>
              <w:right w:val="nil"/>
            </w:tcBorders>
            <w:vAlign w:val="center"/>
            <w:hideMark/>
          </w:tcPr>
          <w:p w14:paraId="38AE93AE"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Persentase (%)</w:t>
            </w:r>
          </w:p>
        </w:tc>
      </w:tr>
      <w:tr w:rsidR="00605E83" w:rsidRPr="00AF51B7" w14:paraId="5478709B" w14:textId="77777777" w:rsidTr="00605E83">
        <w:trPr>
          <w:jc w:val="center"/>
        </w:trPr>
        <w:tc>
          <w:tcPr>
            <w:tcW w:w="4270" w:type="dxa"/>
            <w:tcBorders>
              <w:top w:val="single" w:sz="4" w:space="0" w:color="auto"/>
              <w:left w:val="nil"/>
              <w:bottom w:val="nil"/>
              <w:right w:val="nil"/>
            </w:tcBorders>
            <w:hideMark/>
          </w:tcPr>
          <w:p w14:paraId="4D8C6454" w14:textId="77777777" w:rsidR="00605E83" w:rsidRPr="00AF51B7" w:rsidRDefault="00605E83" w:rsidP="00DA74AC">
            <w:pPr>
              <w:tabs>
                <w:tab w:val="left" w:pos="1701"/>
              </w:tabs>
              <w:jc w:val="both"/>
              <w:rPr>
                <w:rFonts w:ascii="Times New Roman" w:hAnsi="Times New Roman" w:cs="Times New Roman"/>
                <w:b/>
              </w:rPr>
            </w:pPr>
            <w:r w:rsidRPr="00AF51B7">
              <w:rPr>
                <w:rFonts w:ascii="Times New Roman" w:hAnsi="Times New Roman" w:cs="Times New Roman"/>
                <w:b/>
              </w:rPr>
              <w:t>Jenis antibiotik</w:t>
            </w:r>
          </w:p>
        </w:tc>
        <w:tc>
          <w:tcPr>
            <w:tcW w:w="1764" w:type="dxa"/>
            <w:tcBorders>
              <w:top w:val="single" w:sz="4" w:space="0" w:color="auto"/>
              <w:left w:val="nil"/>
              <w:bottom w:val="nil"/>
              <w:right w:val="nil"/>
            </w:tcBorders>
            <w:vAlign w:val="center"/>
          </w:tcPr>
          <w:p w14:paraId="1DF1CBB3" w14:textId="77777777" w:rsidR="00605E83" w:rsidRPr="00AF51B7" w:rsidRDefault="00605E83" w:rsidP="00DA74AC">
            <w:pPr>
              <w:tabs>
                <w:tab w:val="left" w:pos="1701"/>
              </w:tabs>
              <w:jc w:val="center"/>
              <w:rPr>
                <w:rFonts w:ascii="Times New Roman" w:hAnsi="Times New Roman" w:cs="Times New Roman"/>
              </w:rPr>
            </w:pPr>
          </w:p>
        </w:tc>
        <w:tc>
          <w:tcPr>
            <w:tcW w:w="1387" w:type="dxa"/>
            <w:tcBorders>
              <w:top w:val="single" w:sz="4" w:space="0" w:color="auto"/>
              <w:left w:val="nil"/>
              <w:bottom w:val="nil"/>
              <w:right w:val="nil"/>
            </w:tcBorders>
            <w:vAlign w:val="center"/>
          </w:tcPr>
          <w:p w14:paraId="60205C0E" w14:textId="77777777" w:rsidR="00605E83" w:rsidRPr="00AF51B7" w:rsidRDefault="00605E83" w:rsidP="00DA74AC">
            <w:pPr>
              <w:tabs>
                <w:tab w:val="left" w:pos="1701"/>
              </w:tabs>
              <w:jc w:val="center"/>
              <w:rPr>
                <w:rFonts w:ascii="Times New Roman" w:hAnsi="Times New Roman" w:cs="Times New Roman"/>
              </w:rPr>
            </w:pPr>
          </w:p>
        </w:tc>
      </w:tr>
      <w:tr w:rsidR="00605E83" w:rsidRPr="00AF51B7" w14:paraId="2D31B445" w14:textId="77777777" w:rsidTr="00605E83">
        <w:trPr>
          <w:jc w:val="center"/>
        </w:trPr>
        <w:tc>
          <w:tcPr>
            <w:tcW w:w="4270" w:type="dxa"/>
            <w:tcBorders>
              <w:top w:val="nil"/>
              <w:left w:val="nil"/>
              <w:bottom w:val="nil"/>
              <w:right w:val="nil"/>
            </w:tcBorders>
            <w:hideMark/>
          </w:tcPr>
          <w:p w14:paraId="2B84DD40" w14:textId="77777777" w:rsidR="00605E83" w:rsidRPr="00AF51B7" w:rsidRDefault="00605E83" w:rsidP="00DA74AC">
            <w:pPr>
              <w:tabs>
                <w:tab w:val="left" w:pos="1701"/>
              </w:tabs>
              <w:ind w:left="315"/>
              <w:jc w:val="both"/>
              <w:rPr>
                <w:rFonts w:ascii="Times New Roman" w:hAnsi="Times New Roman" w:cs="Times New Roman"/>
              </w:rPr>
            </w:pPr>
            <w:r w:rsidRPr="00AF51B7">
              <w:rPr>
                <w:rFonts w:ascii="Times New Roman" w:hAnsi="Times New Roman" w:cs="Times New Roman"/>
              </w:rPr>
              <w:t>Amoksisilin</w:t>
            </w:r>
          </w:p>
        </w:tc>
        <w:tc>
          <w:tcPr>
            <w:tcW w:w="1764" w:type="dxa"/>
            <w:tcBorders>
              <w:top w:val="nil"/>
              <w:left w:val="nil"/>
              <w:bottom w:val="nil"/>
              <w:right w:val="nil"/>
            </w:tcBorders>
            <w:vAlign w:val="center"/>
            <w:hideMark/>
          </w:tcPr>
          <w:p w14:paraId="2328AC28" w14:textId="17698E4A"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4</w:t>
            </w:r>
            <w:r w:rsidR="00207FD6">
              <w:rPr>
                <w:rFonts w:ascii="Times New Roman" w:hAnsi="Times New Roman" w:cs="Times New Roman"/>
              </w:rPr>
              <w:t>2</w:t>
            </w:r>
          </w:p>
        </w:tc>
        <w:tc>
          <w:tcPr>
            <w:tcW w:w="1387" w:type="dxa"/>
            <w:tcBorders>
              <w:top w:val="nil"/>
              <w:left w:val="nil"/>
              <w:bottom w:val="nil"/>
              <w:right w:val="nil"/>
            </w:tcBorders>
            <w:vAlign w:val="center"/>
            <w:hideMark/>
          </w:tcPr>
          <w:p w14:paraId="6A612E14"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97,7</w:t>
            </w:r>
          </w:p>
        </w:tc>
      </w:tr>
      <w:tr w:rsidR="00605E83" w:rsidRPr="00AF51B7" w14:paraId="46DF47C3" w14:textId="77777777" w:rsidTr="00605E83">
        <w:trPr>
          <w:jc w:val="center"/>
        </w:trPr>
        <w:tc>
          <w:tcPr>
            <w:tcW w:w="4270" w:type="dxa"/>
            <w:tcBorders>
              <w:top w:val="nil"/>
              <w:left w:val="nil"/>
              <w:bottom w:val="nil"/>
              <w:right w:val="nil"/>
            </w:tcBorders>
            <w:hideMark/>
          </w:tcPr>
          <w:p w14:paraId="66DD9055" w14:textId="77777777" w:rsidR="00605E83" w:rsidRPr="00AF51B7" w:rsidRDefault="00605E83" w:rsidP="00DA74AC">
            <w:pPr>
              <w:tabs>
                <w:tab w:val="left" w:pos="1701"/>
              </w:tabs>
              <w:ind w:left="315"/>
              <w:jc w:val="both"/>
              <w:rPr>
                <w:rFonts w:ascii="Times New Roman" w:hAnsi="Times New Roman" w:cs="Times New Roman"/>
              </w:rPr>
            </w:pPr>
            <w:r w:rsidRPr="00AF51B7">
              <w:rPr>
                <w:rFonts w:ascii="Times New Roman" w:hAnsi="Times New Roman" w:cs="Times New Roman"/>
              </w:rPr>
              <w:t>Eritromisin</w:t>
            </w:r>
          </w:p>
        </w:tc>
        <w:tc>
          <w:tcPr>
            <w:tcW w:w="1764" w:type="dxa"/>
            <w:tcBorders>
              <w:top w:val="nil"/>
              <w:left w:val="nil"/>
              <w:bottom w:val="nil"/>
              <w:right w:val="nil"/>
            </w:tcBorders>
            <w:vAlign w:val="center"/>
            <w:hideMark/>
          </w:tcPr>
          <w:p w14:paraId="5CF701D7"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1</w:t>
            </w:r>
          </w:p>
        </w:tc>
        <w:tc>
          <w:tcPr>
            <w:tcW w:w="1387" w:type="dxa"/>
            <w:tcBorders>
              <w:top w:val="nil"/>
              <w:left w:val="nil"/>
              <w:bottom w:val="nil"/>
              <w:right w:val="nil"/>
            </w:tcBorders>
            <w:vAlign w:val="center"/>
            <w:hideMark/>
          </w:tcPr>
          <w:p w14:paraId="0B0E83B4"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2,3</w:t>
            </w:r>
          </w:p>
        </w:tc>
      </w:tr>
      <w:tr w:rsidR="00605E83" w:rsidRPr="00AF51B7" w14:paraId="6457A7FF" w14:textId="77777777" w:rsidTr="00605E83">
        <w:trPr>
          <w:jc w:val="center"/>
        </w:trPr>
        <w:tc>
          <w:tcPr>
            <w:tcW w:w="4270" w:type="dxa"/>
            <w:tcBorders>
              <w:top w:val="nil"/>
              <w:left w:val="nil"/>
              <w:bottom w:val="nil"/>
              <w:right w:val="nil"/>
            </w:tcBorders>
            <w:hideMark/>
          </w:tcPr>
          <w:p w14:paraId="7ED0E698" w14:textId="77777777" w:rsidR="00605E83" w:rsidRPr="00AF51B7" w:rsidRDefault="00605E83" w:rsidP="00DA74AC">
            <w:pPr>
              <w:tabs>
                <w:tab w:val="left" w:pos="1701"/>
              </w:tabs>
              <w:jc w:val="both"/>
              <w:rPr>
                <w:rFonts w:ascii="Times New Roman" w:hAnsi="Times New Roman" w:cs="Times New Roman"/>
                <w:b/>
              </w:rPr>
            </w:pPr>
            <w:r w:rsidRPr="00AF51B7">
              <w:rPr>
                <w:rFonts w:ascii="Times New Roman" w:hAnsi="Times New Roman" w:cs="Times New Roman"/>
                <w:b/>
              </w:rPr>
              <w:t>Dosis antibiotik</w:t>
            </w:r>
          </w:p>
        </w:tc>
        <w:tc>
          <w:tcPr>
            <w:tcW w:w="1764" w:type="dxa"/>
            <w:tcBorders>
              <w:top w:val="nil"/>
              <w:left w:val="nil"/>
              <w:bottom w:val="nil"/>
              <w:right w:val="nil"/>
            </w:tcBorders>
            <w:vAlign w:val="center"/>
          </w:tcPr>
          <w:p w14:paraId="2F2B3E7F" w14:textId="77777777" w:rsidR="00605E83" w:rsidRPr="00AF51B7" w:rsidRDefault="00605E83" w:rsidP="00DA74AC">
            <w:pPr>
              <w:tabs>
                <w:tab w:val="left" w:pos="1701"/>
              </w:tabs>
              <w:jc w:val="center"/>
              <w:rPr>
                <w:rFonts w:ascii="Times New Roman" w:hAnsi="Times New Roman" w:cs="Times New Roman"/>
              </w:rPr>
            </w:pPr>
          </w:p>
        </w:tc>
        <w:tc>
          <w:tcPr>
            <w:tcW w:w="1387" w:type="dxa"/>
            <w:tcBorders>
              <w:top w:val="nil"/>
              <w:left w:val="nil"/>
              <w:bottom w:val="nil"/>
              <w:right w:val="nil"/>
            </w:tcBorders>
            <w:vAlign w:val="center"/>
          </w:tcPr>
          <w:p w14:paraId="2909498E" w14:textId="77777777" w:rsidR="00605E83" w:rsidRPr="00AF51B7" w:rsidRDefault="00605E83" w:rsidP="00DA74AC">
            <w:pPr>
              <w:tabs>
                <w:tab w:val="left" w:pos="1701"/>
              </w:tabs>
              <w:jc w:val="center"/>
              <w:rPr>
                <w:rFonts w:ascii="Times New Roman" w:hAnsi="Times New Roman" w:cs="Times New Roman"/>
              </w:rPr>
            </w:pPr>
          </w:p>
        </w:tc>
      </w:tr>
      <w:tr w:rsidR="00605E83" w:rsidRPr="00AF51B7" w14:paraId="172AB370" w14:textId="77777777" w:rsidTr="00605E83">
        <w:trPr>
          <w:jc w:val="center"/>
        </w:trPr>
        <w:tc>
          <w:tcPr>
            <w:tcW w:w="4270" w:type="dxa"/>
            <w:tcBorders>
              <w:top w:val="nil"/>
              <w:left w:val="nil"/>
              <w:bottom w:val="nil"/>
              <w:right w:val="nil"/>
            </w:tcBorders>
            <w:hideMark/>
          </w:tcPr>
          <w:p w14:paraId="11D4D28F" w14:textId="218BF57B" w:rsidR="00605E83" w:rsidRPr="00AF51B7" w:rsidRDefault="00605E83" w:rsidP="00DA74AC">
            <w:pPr>
              <w:tabs>
                <w:tab w:val="left" w:pos="1701"/>
              </w:tabs>
              <w:ind w:left="315"/>
              <w:jc w:val="both"/>
              <w:rPr>
                <w:rFonts w:ascii="Times New Roman" w:hAnsi="Times New Roman" w:cs="Times New Roman"/>
              </w:rPr>
            </w:pPr>
            <w:r w:rsidRPr="00AF51B7">
              <w:rPr>
                <w:rFonts w:ascii="Times New Roman" w:hAnsi="Times New Roman" w:cs="Times New Roman"/>
              </w:rPr>
              <w:t>Amoksisilin 500 mg (</w:t>
            </w:r>
            <w:r w:rsidR="00207FD6">
              <w:rPr>
                <w:rFonts w:ascii="Times New Roman" w:hAnsi="Times New Roman" w:cs="Times New Roman"/>
                <w:sz w:val="24"/>
                <w:szCs w:val="24"/>
              </w:rPr>
              <w:t>tiap 8 jam</w:t>
            </w:r>
            <w:r w:rsidRPr="00AF51B7">
              <w:rPr>
                <w:rFonts w:ascii="Times New Roman" w:hAnsi="Times New Roman" w:cs="Times New Roman"/>
              </w:rPr>
              <w:t>)</w:t>
            </w:r>
          </w:p>
        </w:tc>
        <w:tc>
          <w:tcPr>
            <w:tcW w:w="1764" w:type="dxa"/>
            <w:tcBorders>
              <w:top w:val="nil"/>
              <w:left w:val="nil"/>
              <w:bottom w:val="nil"/>
              <w:right w:val="nil"/>
            </w:tcBorders>
            <w:vAlign w:val="center"/>
            <w:hideMark/>
          </w:tcPr>
          <w:p w14:paraId="2C9E6129" w14:textId="3C859A30"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4</w:t>
            </w:r>
            <w:r w:rsidR="00207FD6">
              <w:rPr>
                <w:rFonts w:ascii="Times New Roman" w:hAnsi="Times New Roman" w:cs="Times New Roman"/>
              </w:rPr>
              <w:t>0</w:t>
            </w:r>
          </w:p>
        </w:tc>
        <w:tc>
          <w:tcPr>
            <w:tcW w:w="1387" w:type="dxa"/>
            <w:tcBorders>
              <w:top w:val="nil"/>
              <w:left w:val="nil"/>
              <w:bottom w:val="nil"/>
              <w:right w:val="nil"/>
            </w:tcBorders>
            <w:vAlign w:val="center"/>
            <w:hideMark/>
          </w:tcPr>
          <w:p w14:paraId="530237FC"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93.2</w:t>
            </w:r>
          </w:p>
        </w:tc>
      </w:tr>
      <w:tr w:rsidR="00605E83" w:rsidRPr="00AF51B7" w14:paraId="0C1A40BC" w14:textId="77777777" w:rsidTr="00605E83">
        <w:trPr>
          <w:jc w:val="center"/>
        </w:trPr>
        <w:tc>
          <w:tcPr>
            <w:tcW w:w="4270" w:type="dxa"/>
            <w:tcBorders>
              <w:top w:val="nil"/>
              <w:left w:val="nil"/>
              <w:bottom w:val="nil"/>
              <w:right w:val="nil"/>
            </w:tcBorders>
            <w:hideMark/>
          </w:tcPr>
          <w:p w14:paraId="5C3290F3" w14:textId="085FA045" w:rsidR="00605E83" w:rsidRPr="00AF51B7" w:rsidRDefault="00605E83" w:rsidP="00DA74AC">
            <w:pPr>
              <w:tabs>
                <w:tab w:val="left" w:pos="1701"/>
              </w:tabs>
              <w:ind w:left="315"/>
              <w:jc w:val="both"/>
              <w:rPr>
                <w:rFonts w:ascii="Times New Roman" w:hAnsi="Times New Roman" w:cs="Times New Roman"/>
              </w:rPr>
            </w:pPr>
            <w:r w:rsidRPr="00AF51B7">
              <w:rPr>
                <w:rFonts w:ascii="Times New Roman" w:hAnsi="Times New Roman" w:cs="Times New Roman"/>
              </w:rPr>
              <w:t>Amoksisilin 250mg/5 ml (</w:t>
            </w:r>
            <w:r w:rsidR="00207FD6">
              <w:rPr>
                <w:rFonts w:ascii="Times New Roman" w:hAnsi="Times New Roman" w:cs="Times New Roman"/>
                <w:sz w:val="24"/>
                <w:szCs w:val="24"/>
              </w:rPr>
              <w:t>tiap 12 jam</w:t>
            </w:r>
            <w:r w:rsidRPr="00AF51B7">
              <w:rPr>
                <w:rFonts w:ascii="Times New Roman" w:hAnsi="Times New Roman" w:cs="Times New Roman"/>
              </w:rPr>
              <w:t>)</w:t>
            </w:r>
          </w:p>
        </w:tc>
        <w:tc>
          <w:tcPr>
            <w:tcW w:w="1764" w:type="dxa"/>
            <w:tcBorders>
              <w:top w:val="nil"/>
              <w:left w:val="nil"/>
              <w:bottom w:val="nil"/>
              <w:right w:val="nil"/>
            </w:tcBorders>
            <w:vAlign w:val="center"/>
            <w:hideMark/>
          </w:tcPr>
          <w:p w14:paraId="1AEF9C23"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1</w:t>
            </w:r>
          </w:p>
        </w:tc>
        <w:tc>
          <w:tcPr>
            <w:tcW w:w="1387" w:type="dxa"/>
            <w:tcBorders>
              <w:top w:val="nil"/>
              <w:left w:val="nil"/>
              <w:bottom w:val="nil"/>
              <w:right w:val="nil"/>
            </w:tcBorders>
            <w:vAlign w:val="center"/>
            <w:hideMark/>
          </w:tcPr>
          <w:p w14:paraId="7545A6BB"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2,3</w:t>
            </w:r>
          </w:p>
        </w:tc>
      </w:tr>
      <w:tr w:rsidR="00605E83" w:rsidRPr="00AF51B7" w14:paraId="42D32FB4" w14:textId="77777777" w:rsidTr="00605E83">
        <w:trPr>
          <w:jc w:val="center"/>
        </w:trPr>
        <w:tc>
          <w:tcPr>
            <w:tcW w:w="4270" w:type="dxa"/>
            <w:tcBorders>
              <w:top w:val="nil"/>
              <w:left w:val="nil"/>
              <w:bottom w:val="nil"/>
              <w:right w:val="nil"/>
            </w:tcBorders>
            <w:hideMark/>
          </w:tcPr>
          <w:p w14:paraId="663215E1" w14:textId="0C211753" w:rsidR="00605E83" w:rsidRPr="00AF51B7" w:rsidRDefault="00605E83" w:rsidP="00DA74AC">
            <w:pPr>
              <w:tabs>
                <w:tab w:val="left" w:pos="1701"/>
              </w:tabs>
              <w:ind w:left="315"/>
              <w:jc w:val="both"/>
              <w:rPr>
                <w:rFonts w:ascii="Times New Roman" w:hAnsi="Times New Roman" w:cs="Times New Roman"/>
              </w:rPr>
            </w:pPr>
            <w:r w:rsidRPr="00AF51B7">
              <w:rPr>
                <w:rFonts w:ascii="Times New Roman" w:hAnsi="Times New Roman" w:cs="Times New Roman"/>
              </w:rPr>
              <w:t>Amoksisilin 250mg/5 ml (</w:t>
            </w:r>
            <w:r w:rsidR="00207FD6">
              <w:rPr>
                <w:rFonts w:ascii="Times New Roman" w:hAnsi="Times New Roman" w:cs="Times New Roman"/>
                <w:sz w:val="24"/>
                <w:szCs w:val="24"/>
              </w:rPr>
              <w:t>tiap 8 jam</w:t>
            </w:r>
            <w:r w:rsidRPr="00AF51B7">
              <w:rPr>
                <w:rFonts w:ascii="Times New Roman" w:hAnsi="Times New Roman" w:cs="Times New Roman"/>
              </w:rPr>
              <w:t>)</w:t>
            </w:r>
          </w:p>
        </w:tc>
        <w:tc>
          <w:tcPr>
            <w:tcW w:w="1764" w:type="dxa"/>
            <w:tcBorders>
              <w:top w:val="nil"/>
              <w:left w:val="nil"/>
              <w:bottom w:val="nil"/>
              <w:right w:val="nil"/>
            </w:tcBorders>
            <w:vAlign w:val="center"/>
            <w:hideMark/>
          </w:tcPr>
          <w:p w14:paraId="2A7E51AD"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1</w:t>
            </w:r>
          </w:p>
        </w:tc>
        <w:tc>
          <w:tcPr>
            <w:tcW w:w="1387" w:type="dxa"/>
            <w:tcBorders>
              <w:top w:val="nil"/>
              <w:left w:val="nil"/>
              <w:bottom w:val="nil"/>
              <w:right w:val="nil"/>
            </w:tcBorders>
            <w:hideMark/>
          </w:tcPr>
          <w:p w14:paraId="4B1013C4"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2,3</w:t>
            </w:r>
          </w:p>
        </w:tc>
      </w:tr>
      <w:tr w:rsidR="00605E83" w:rsidRPr="00AF51B7" w14:paraId="18C5B8CD" w14:textId="77777777" w:rsidTr="00605E83">
        <w:trPr>
          <w:jc w:val="center"/>
        </w:trPr>
        <w:tc>
          <w:tcPr>
            <w:tcW w:w="4270" w:type="dxa"/>
            <w:tcBorders>
              <w:top w:val="nil"/>
              <w:left w:val="nil"/>
              <w:bottom w:val="single" w:sz="4" w:space="0" w:color="auto"/>
              <w:right w:val="nil"/>
            </w:tcBorders>
            <w:hideMark/>
          </w:tcPr>
          <w:p w14:paraId="3AD9DCA4" w14:textId="4E5FD647" w:rsidR="00605E83" w:rsidRPr="00AF51B7" w:rsidRDefault="00605E83" w:rsidP="00DA74AC">
            <w:pPr>
              <w:tabs>
                <w:tab w:val="left" w:pos="1701"/>
              </w:tabs>
              <w:ind w:left="315"/>
              <w:jc w:val="both"/>
              <w:rPr>
                <w:rFonts w:ascii="Times New Roman" w:hAnsi="Times New Roman" w:cs="Times New Roman"/>
              </w:rPr>
            </w:pPr>
            <w:r w:rsidRPr="00AF51B7">
              <w:rPr>
                <w:rFonts w:ascii="Times New Roman" w:hAnsi="Times New Roman" w:cs="Times New Roman"/>
              </w:rPr>
              <w:t>Eritromisin 500 mg (</w:t>
            </w:r>
            <w:r w:rsidR="00207FD6">
              <w:rPr>
                <w:rFonts w:ascii="Times New Roman" w:hAnsi="Times New Roman" w:cs="Times New Roman"/>
                <w:sz w:val="24"/>
                <w:szCs w:val="24"/>
              </w:rPr>
              <w:t>tiap 8 jam</w:t>
            </w:r>
            <w:r w:rsidRPr="00AF51B7">
              <w:rPr>
                <w:rFonts w:ascii="Times New Roman" w:hAnsi="Times New Roman" w:cs="Times New Roman"/>
              </w:rPr>
              <w:t>)</w:t>
            </w:r>
          </w:p>
        </w:tc>
        <w:tc>
          <w:tcPr>
            <w:tcW w:w="1764" w:type="dxa"/>
            <w:tcBorders>
              <w:top w:val="nil"/>
              <w:left w:val="nil"/>
              <w:bottom w:val="single" w:sz="4" w:space="0" w:color="auto"/>
              <w:right w:val="nil"/>
            </w:tcBorders>
            <w:vAlign w:val="center"/>
            <w:hideMark/>
          </w:tcPr>
          <w:p w14:paraId="52F247A9"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1</w:t>
            </w:r>
          </w:p>
        </w:tc>
        <w:tc>
          <w:tcPr>
            <w:tcW w:w="1387" w:type="dxa"/>
            <w:tcBorders>
              <w:top w:val="nil"/>
              <w:left w:val="nil"/>
              <w:bottom w:val="single" w:sz="4" w:space="0" w:color="auto"/>
              <w:right w:val="nil"/>
            </w:tcBorders>
            <w:hideMark/>
          </w:tcPr>
          <w:p w14:paraId="33B3EE32" w14:textId="77777777" w:rsidR="00605E83" w:rsidRPr="00AF51B7" w:rsidRDefault="00605E83" w:rsidP="00DA74AC">
            <w:pPr>
              <w:tabs>
                <w:tab w:val="left" w:pos="1701"/>
              </w:tabs>
              <w:jc w:val="center"/>
              <w:rPr>
                <w:rFonts w:ascii="Times New Roman" w:hAnsi="Times New Roman" w:cs="Times New Roman"/>
              </w:rPr>
            </w:pPr>
            <w:r w:rsidRPr="00AF51B7">
              <w:rPr>
                <w:rFonts w:ascii="Times New Roman" w:hAnsi="Times New Roman" w:cs="Times New Roman"/>
              </w:rPr>
              <w:t>2,3</w:t>
            </w:r>
          </w:p>
        </w:tc>
      </w:tr>
    </w:tbl>
    <w:p w14:paraId="656B6FC9" w14:textId="77777777" w:rsidR="00DA74AC" w:rsidRDefault="00DA74AC" w:rsidP="00D35E66">
      <w:pPr>
        <w:spacing w:before="120" w:after="120" w:line="240" w:lineRule="auto"/>
        <w:jc w:val="both"/>
        <w:rPr>
          <w:rFonts w:ascii="Times New Roman" w:hAnsi="Times New Roman" w:cs="Times New Roman"/>
          <w:sz w:val="24"/>
        </w:rPr>
        <w:sectPr w:rsidR="00DA74AC" w:rsidSect="0076199B">
          <w:type w:val="continuous"/>
          <w:pgSz w:w="11907" w:h="16839" w:code="9"/>
          <w:pgMar w:top="1440" w:right="1440" w:bottom="1440" w:left="1440" w:header="720" w:footer="720" w:gutter="0"/>
          <w:cols w:space="720"/>
          <w:docGrid w:linePitch="360"/>
        </w:sectPr>
      </w:pPr>
    </w:p>
    <w:p w14:paraId="6273310C" w14:textId="649E76F7" w:rsidR="00605E83" w:rsidRDefault="00605E83" w:rsidP="00D35E66">
      <w:pPr>
        <w:spacing w:before="120" w:after="120" w:line="240" w:lineRule="auto"/>
        <w:jc w:val="both"/>
        <w:rPr>
          <w:rFonts w:ascii="Times New Roman" w:hAnsi="Times New Roman" w:cs="Times New Roman"/>
          <w:sz w:val="24"/>
        </w:rPr>
      </w:pPr>
      <w:r w:rsidRPr="00605E83">
        <w:rPr>
          <w:rFonts w:ascii="Times New Roman" w:hAnsi="Times New Roman" w:cs="Times New Roman"/>
          <w:sz w:val="24"/>
        </w:rPr>
        <w:t>Peningkatan penggunaan antibiotik oleh masyarakat sangat berkorelasi dengan munculnya resistensi terhadap antibiotik (Hicks dkk., 2011).</w:t>
      </w:r>
      <w:r>
        <w:rPr>
          <w:rFonts w:ascii="Times New Roman" w:hAnsi="Times New Roman" w:cs="Times New Roman"/>
          <w:sz w:val="24"/>
        </w:rPr>
        <w:t xml:space="preserve"> </w:t>
      </w:r>
      <w:r w:rsidRPr="00605E83">
        <w:rPr>
          <w:rFonts w:ascii="Times New Roman" w:hAnsi="Times New Roman" w:cs="Times New Roman"/>
          <w:sz w:val="24"/>
        </w:rPr>
        <w:t>Penggunaan antibiotik empiris selanjutnya dilakukan evaluai terhadap pedoman-pedoman yang dinilai dari jenis antibiotik yang digunakan, dosis, frekuensi dan durasi.</w:t>
      </w:r>
      <w:r>
        <w:rPr>
          <w:rFonts w:ascii="Times New Roman" w:hAnsi="Times New Roman" w:cs="Times New Roman"/>
          <w:sz w:val="24"/>
        </w:rPr>
        <w:t xml:space="preserve"> </w:t>
      </w:r>
      <w:r w:rsidRPr="00605E83">
        <w:rPr>
          <w:rFonts w:ascii="Times New Roman" w:hAnsi="Times New Roman" w:cs="Times New Roman"/>
          <w:sz w:val="24"/>
        </w:rPr>
        <w:t xml:space="preserve">Berdasarkan evaluasi kesesuaian penggunaan antibiotik empirik terhadap pedoman seperti Panduan Praktik Klinis Bagi Dokter di Fasilitas Pelayanan Kesehatan Tingkat Pertama dan </w:t>
      </w:r>
      <w:r w:rsidRPr="009530DD">
        <w:rPr>
          <w:rFonts w:ascii="Times New Roman" w:hAnsi="Times New Roman" w:cs="Times New Roman"/>
          <w:i/>
          <w:sz w:val="24"/>
        </w:rPr>
        <w:t>Drug Information Handbook</w:t>
      </w:r>
      <w:r w:rsidRPr="00605E83">
        <w:rPr>
          <w:rFonts w:ascii="Times New Roman" w:hAnsi="Times New Roman" w:cs="Times New Roman"/>
          <w:sz w:val="24"/>
        </w:rPr>
        <w:t xml:space="preserve">, diperoleh data </w:t>
      </w:r>
      <w:r w:rsidRPr="00605E83">
        <w:rPr>
          <w:rFonts w:ascii="Times New Roman" w:hAnsi="Times New Roman" w:cs="Times New Roman"/>
          <w:sz w:val="24"/>
        </w:rPr>
        <w:t>sebanyak 4</w:t>
      </w:r>
      <w:r w:rsidR="00165B1B">
        <w:rPr>
          <w:rFonts w:ascii="Times New Roman" w:hAnsi="Times New Roman" w:cs="Times New Roman"/>
          <w:sz w:val="24"/>
        </w:rPr>
        <w:t>0</w:t>
      </w:r>
      <w:r w:rsidRPr="00605E83">
        <w:rPr>
          <w:rFonts w:ascii="Times New Roman" w:hAnsi="Times New Roman" w:cs="Times New Roman"/>
          <w:sz w:val="24"/>
        </w:rPr>
        <w:t xml:space="preserve"> pasien</w:t>
      </w:r>
      <w:r>
        <w:rPr>
          <w:rFonts w:ascii="Times New Roman" w:hAnsi="Times New Roman" w:cs="Times New Roman"/>
          <w:sz w:val="24"/>
        </w:rPr>
        <w:t xml:space="preserve"> (93%)</w:t>
      </w:r>
      <w:r w:rsidRPr="00605E83">
        <w:rPr>
          <w:rFonts w:ascii="Times New Roman" w:hAnsi="Times New Roman" w:cs="Times New Roman"/>
          <w:sz w:val="24"/>
        </w:rPr>
        <w:t xml:space="preserve"> yang sesuai terapinya dengan pedoman dan sebanyak 3 pasien</w:t>
      </w:r>
      <w:r>
        <w:rPr>
          <w:rFonts w:ascii="Times New Roman" w:hAnsi="Times New Roman" w:cs="Times New Roman"/>
          <w:sz w:val="24"/>
        </w:rPr>
        <w:t xml:space="preserve"> (</w:t>
      </w:r>
      <w:r w:rsidR="00165B1B">
        <w:rPr>
          <w:rFonts w:ascii="Times New Roman" w:hAnsi="Times New Roman" w:cs="Times New Roman"/>
          <w:sz w:val="24"/>
        </w:rPr>
        <w:t>7</w:t>
      </w:r>
      <w:r>
        <w:rPr>
          <w:rFonts w:ascii="Times New Roman" w:hAnsi="Times New Roman" w:cs="Times New Roman"/>
          <w:sz w:val="24"/>
        </w:rPr>
        <w:t>%)</w:t>
      </w:r>
      <w:r w:rsidRPr="00605E83">
        <w:rPr>
          <w:rFonts w:ascii="Times New Roman" w:hAnsi="Times New Roman" w:cs="Times New Roman"/>
          <w:sz w:val="24"/>
        </w:rPr>
        <w:t xml:space="preserve"> yang tidak sesuai dengan pedoman. Ketidaksesuaian tersebut disebabkan oleh pemberian antibiotik empiris dengan dosis yang melebihi dosis terapi yang direkomendasikan oleh literatur.</w:t>
      </w:r>
      <w:r>
        <w:rPr>
          <w:rFonts w:ascii="Times New Roman" w:hAnsi="Times New Roman" w:cs="Times New Roman"/>
          <w:sz w:val="24"/>
        </w:rPr>
        <w:t xml:space="preserve"> </w:t>
      </w:r>
      <w:r w:rsidR="005167C8" w:rsidRPr="005167C8">
        <w:rPr>
          <w:rFonts w:ascii="Times New Roman" w:hAnsi="Times New Roman" w:cs="Times New Roman"/>
          <w:sz w:val="24"/>
        </w:rPr>
        <w:t xml:space="preserve">Hasil uji </w:t>
      </w:r>
      <w:r w:rsidR="00165B1B">
        <w:rPr>
          <w:rFonts w:ascii="Times New Roman" w:hAnsi="Times New Roman" w:cs="Times New Roman"/>
          <w:sz w:val="20"/>
          <w:szCs w:val="24"/>
        </w:rPr>
        <w:t xml:space="preserve">Uji </w:t>
      </w:r>
      <w:r w:rsidR="00165B1B">
        <w:rPr>
          <w:rFonts w:ascii="Times New Roman" w:hAnsi="Times New Roman" w:cs="Times New Roman"/>
          <w:i/>
          <w:szCs w:val="24"/>
        </w:rPr>
        <w:t>L</w:t>
      </w:r>
      <w:r w:rsidR="00165B1B" w:rsidRPr="00165B1B">
        <w:rPr>
          <w:rFonts w:ascii="Times New Roman" w:hAnsi="Times New Roman" w:cs="Times New Roman"/>
          <w:i/>
          <w:szCs w:val="24"/>
        </w:rPr>
        <w:t>ikelihood ratio</w:t>
      </w:r>
      <w:r w:rsidR="005167C8" w:rsidRPr="005167C8">
        <w:rPr>
          <w:rFonts w:ascii="Times New Roman" w:hAnsi="Times New Roman" w:cs="Times New Roman"/>
          <w:sz w:val="24"/>
        </w:rPr>
        <w:t xml:space="preserve"> pada penelitian ini menunjukkan tidak adanya hubungan yang signifikan antara kesesuaian penggunaan antibiotik dengan </w:t>
      </w:r>
      <w:r w:rsidR="005167C8" w:rsidRPr="005167C8">
        <w:rPr>
          <w:rFonts w:ascii="Times New Roman" w:hAnsi="Times New Roman" w:cs="Times New Roman"/>
          <w:i/>
          <w:sz w:val="24"/>
        </w:rPr>
        <w:t>outcome</w:t>
      </w:r>
      <w:r w:rsidR="005167C8" w:rsidRPr="005167C8">
        <w:rPr>
          <w:rFonts w:ascii="Times New Roman" w:hAnsi="Times New Roman" w:cs="Times New Roman"/>
          <w:sz w:val="24"/>
        </w:rPr>
        <w:t xml:space="preserve"> iklinis pasien (p&gt;0,05).</w:t>
      </w:r>
    </w:p>
    <w:p w14:paraId="1E5FC32A" w14:textId="77777777" w:rsidR="00DA74AC" w:rsidRDefault="00DA74AC" w:rsidP="00AF51B7">
      <w:pPr>
        <w:spacing w:after="0" w:line="240" w:lineRule="auto"/>
        <w:jc w:val="both"/>
        <w:rPr>
          <w:rFonts w:ascii="Times New Roman" w:hAnsi="Times New Roman" w:cs="Times New Roman"/>
          <w:b/>
        </w:rPr>
        <w:sectPr w:rsidR="00DA74AC" w:rsidSect="00DA74AC">
          <w:type w:val="continuous"/>
          <w:pgSz w:w="11907" w:h="16839" w:code="9"/>
          <w:pgMar w:top="1440" w:right="1440" w:bottom="1440" w:left="1440" w:header="720" w:footer="720" w:gutter="0"/>
          <w:cols w:num="2" w:space="283"/>
          <w:docGrid w:linePitch="360"/>
        </w:sectPr>
      </w:pPr>
    </w:p>
    <w:p w14:paraId="4A7762BA" w14:textId="65AC4F01" w:rsidR="005167C8" w:rsidRDefault="005167C8" w:rsidP="00DA74AC">
      <w:pPr>
        <w:spacing w:after="0" w:line="240" w:lineRule="auto"/>
        <w:ind w:left="851" w:hanging="851"/>
        <w:jc w:val="both"/>
        <w:rPr>
          <w:rFonts w:ascii="Times New Roman" w:hAnsi="Times New Roman" w:cs="Times New Roman"/>
          <w:b/>
        </w:rPr>
      </w:pPr>
      <w:r>
        <w:rPr>
          <w:rFonts w:ascii="Times New Roman" w:hAnsi="Times New Roman" w:cs="Times New Roman"/>
          <w:b/>
        </w:rPr>
        <w:t xml:space="preserve">Tabel </w:t>
      </w:r>
      <w:r w:rsidR="00A34225">
        <w:rPr>
          <w:rFonts w:ascii="Times New Roman" w:hAnsi="Times New Roman" w:cs="Times New Roman"/>
          <w:b/>
        </w:rPr>
        <w:t>4</w:t>
      </w:r>
      <w:r>
        <w:rPr>
          <w:rFonts w:ascii="Times New Roman" w:hAnsi="Times New Roman" w:cs="Times New Roman"/>
          <w:b/>
        </w:rPr>
        <w:t xml:space="preserve">. Analisa Hubungan Kesesuaian Penggunaan Antibiotik Empirik Terhadap </w:t>
      </w:r>
      <w:r>
        <w:rPr>
          <w:rFonts w:ascii="Times New Roman" w:hAnsi="Times New Roman" w:cs="Times New Roman"/>
          <w:b/>
          <w:i/>
        </w:rPr>
        <w:t xml:space="preserve">Outcome </w:t>
      </w:r>
      <w:r>
        <w:rPr>
          <w:rFonts w:ascii="Times New Roman" w:hAnsi="Times New Roman" w:cs="Times New Roman"/>
          <w:b/>
        </w:rPr>
        <w:t>Klinik</w:t>
      </w:r>
    </w:p>
    <w:tbl>
      <w:tblPr>
        <w:tblStyle w:val="TableGrid"/>
        <w:tblW w:w="7584" w:type="dxa"/>
        <w:jc w:val="center"/>
        <w:tblInd w:w="0" w:type="dxa"/>
        <w:tblLook w:val="04A0" w:firstRow="1" w:lastRow="0" w:firstColumn="1" w:lastColumn="0" w:noHBand="0" w:noVBand="1"/>
      </w:tblPr>
      <w:tblGrid>
        <w:gridCol w:w="1950"/>
        <w:gridCol w:w="1865"/>
        <w:gridCol w:w="1866"/>
        <w:gridCol w:w="1903"/>
      </w:tblGrid>
      <w:tr w:rsidR="005167C8" w:rsidRPr="00AF51B7" w14:paraId="718BE82C" w14:textId="77777777" w:rsidTr="00DA74AC">
        <w:trPr>
          <w:trHeight w:val="315"/>
          <w:jc w:val="center"/>
        </w:trPr>
        <w:tc>
          <w:tcPr>
            <w:tcW w:w="1950" w:type="dxa"/>
            <w:vMerge w:val="restart"/>
            <w:tcBorders>
              <w:top w:val="single" w:sz="4" w:space="0" w:color="auto"/>
              <w:left w:val="nil"/>
              <w:bottom w:val="single" w:sz="4" w:space="0" w:color="auto"/>
              <w:right w:val="nil"/>
            </w:tcBorders>
            <w:vAlign w:val="center"/>
            <w:hideMark/>
          </w:tcPr>
          <w:p w14:paraId="6BD99E43" w14:textId="77777777" w:rsidR="005167C8" w:rsidRPr="00AF51B7" w:rsidRDefault="005167C8" w:rsidP="00DA74AC">
            <w:pPr>
              <w:tabs>
                <w:tab w:val="left" w:pos="1701"/>
              </w:tabs>
              <w:jc w:val="center"/>
              <w:rPr>
                <w:rFonts w:ascii="Times New Roman" w:hAnsi="Times New Roman" w:cs="Times New Roman"/>
              </w:rPr>
            </w:pPr>
            <w:r w:rsidRPr="00AF51B7">
              <w:rPr>
                <w:rFonts w:ascii="Times New Roman" w:hAnsi="Times New Roman" w:cs="Times New Roman"/>
              </w:rPr>
              <w:t>Kesesuaian antibiotik</w:t>
            </w:r>
          </w:p>
        </w:tc>
        <w:tc>
          <w:tcPr>
            <w:tcW w:w="3731" w:type="dxa"/>
            <w:gridSpan w:val="2"/>
            <w:tcBorders>
              <w:top w:val="single" w:sz="4" w:space="0" w:color="auto"/>
              <w:left w:val="nil"/>
              <w:bottom w:val="single" w:sz="4" w:space="0" w:color="auto"/>
              <w:right w:val="nil"/>
            </w:tcBorders>
            <w:vAlign w:val="center"/>
            <w:hideMark/>
          </w:tcPr>
          <w:p w14:paraId="16996F92" w14:textId="77777777" w:rsidR="005167C8" w:rsidRPr="00AF51B7" w:rsidRDefault="005167C8" w:rsidP="00DA74AC">
            <w:pPr>
              <w:tabs>
                <w:tab w:val="left" w:pos="1701"/>
              </w:tabs>
              <w:jc w:val="center"/>
              <w:rPr>
                <w:rFonts w:ascii="Times New Roman" w:hAnsi="Times New Roman" w:cs="Times New Roman"/>
              </w:rPr>
            </w:pPr>
            <w:r w:rsidRPr="00AF51B7">
              <w:rPr>
                <w:rFonts w:ascii="Times New Roman" w:hAnsi="Times New Roman" w:cs="Times New Roman"/>
                <w:i/>
              </w:rPr>
              <w:t>Outcome</w:t>
            </w:r>
            <w:r w:rsidRPr="00AF51B7">
              <w:rPr>
                <w:rFonts w:ascii="Times New Roman" w:hAnsi="Times New Roman" w:cs="Times New Roman"/>
              </w:rPr>
              <w:t xml:space="preserve"> klinik</w:t>
            </w:r>
          </w:p>
        </w:tc>
        <w:tc>
          <w:tcPr>
            <w:tcW w:w="1903" w:type="dxa"/>
            <w:vMerge w:val="restart"/>
            <w:tcBorders>
              <w:top w:val="single" w:sz="4" w:space="0" w:color="auto"/>
              <w:left w:val="nil"/>
              <w:bottom w:val="single" w:sz="4" w:space="0" w:color="auto"/>
              <w:right w:val="nil"/>
            </w:tcBorders>
            <w:vAlign w:val="center"/>
            <w:hideMark/>
          </w:tcPr>
          <w:p w14:paraId="1759F800" w14:textId="77777777" w:rsidR="005167C8" w:rsidRPr="00AF51B7" w:rsidRDefault="005167C8" w:rsidP="00DA74AC">
            <w:pPr>
              <w:tabs>
                <w:tab w:val="left" w:pos="1701"/>
              </w:tabs>
              <w:jc w:val="center"/>
              <w:rPr>
                <w:rFonts w:ascii="Times New Roman" w:hAnsi="Times New Roman" w:cs="Times New Roman"/>
              </w:rPr>
            </w:pPr>
            <w:r w:rsidRPr="00AF51B7">
              <w:rPr>
                <w:rFonts w:ascii="Times New Roman" w:hAnsi="Times New Roman" w:cs="Times New Roman"/>
              </w:rPr>
              <w:t>Nilai P</w:t>
            </w:r>
          </w:p>
        </w:tc>
      </w:tr>
      <w:tr w:rsidR="005167C8" w:rsidRPr="00AF51B7" w14:paraId="406B5652" w14:textId="77777777" w:rsidTr="00DA74AC">
        <w:trPr>
          <w:trHeight w:val="263"/>
          <w:jc w:val="center"/>
        </w:trPr>
        <w:tc>
          <w:tcPr>
            <w:tcW w:w="0" w:type="auto"/>
            <w:vMerge/>
            <w:tcBorders>
              <w:top w:val="single" w:sz="4" w:space="0" w:color="auto"/>
              <w:left w:val="nil"/>
              <w:bottom w:val="single" w:sz="4" w:space="0" w:color="auto"/>
              <w:right w:val="nil"/>
            </w:tcBorders>
            <w:vAlign w:val="center"/>
            <w:hideMark/>
          </w:tcPr>
          <w:p w14:paraId="1F56C776" w14:textId="77777777" w:rsidR="005167C8" w:rsidRPr="00AF51B7" w:rsidRDefault="005167C8" w:rsidP="00DA74AC">
            <w:pPr>
              <w:rPr>
                <w:rFonts w:ascii="Times New Roman" w:hAnsi="Times New Roman" w:cs="Times New Roman"/>
              </w:rPr>
            </w:pPr>
          </w:p>
        </w:tc>
        <w:tc>
          <w:tcPr>
            <w:tcW w:w="1865" w:type="dxa"/>
            <w:tcBorders>
              <w:top w:val="single" w:sz="4" w:space="0" w:color="auto"/>
              <w:left w:val="nil"/>
              <w:bottom w:val="single" w:sz="4" w:space="0" w:color="auto"/>
              <w:right w:val="nil"/>
            </w:tcBorders>
            <w:vAlign w:val="center"/>
            <w:hideMark/>
          </w:tcPr>
          <w:p w14:paraId="5F2ECDDC" w14:textId="77777777" w:rsidR="005167C8" w:rsidRPr="00AF51B7" w:rsidRDefault="005167C8" w:rsidP="00DA74AC">
            <w:pPr>
              <w:tabs>
                <w:tab w:val="left" w:pos="1701"/>
              </w:tabs>
              <w:jc w:val="center"/>
              <w:rPr>
                <w:rFonts w:ascii="Times New Roman" w:hAnsi="Times New Roman" w:cs="Times New Roman"/>
              </w:rPr>
            </w:pPr>
            <w:r w:rsidRPr="00AF51B7">
              <w:rPr>
                <w:rFonts w:ascii="Times New Roman" w:hAnsi="Times New Roman" w:cs="Times New Roman"/>
              </w:rPr>
              <w:t>Membaik</w:t>
            </w:r>
          </w:p>
        </w:tc>
        <w:tc>
          <w:tcPr>
            <w:tcW w:w="1866" w:type="dxa"/>
            <w:tcBorders>
              <w:top w:val="single" w:sz="4" w:space="0" w:color="auto"/>
              <w:left w:val="nil"/>
              <w:bottom w:val="single" w:sz="4" w:space="0" w:color="auto"/>
              <w:right w:val="nil"/>
            </w:tcBorders>
            <w:vAlign w:val="center"/>
            <w:hideMark/>
          </w:tcPr>
          <w:p w14:paraId="219C6284" w14:textId="77777777" w:rsidR="005167C8" w:rsidRPr="00AF51B7" w:rsidRDefault="005167C8" w:rsidP="00DA74AC">
            <w:pPr>
              <w:tabs>
                <w:tab w:val="left" w:pos="1701"/>
              </w:tabs>
              <w:jc w:val="center"/>
              <w:rPr>
                <w:rFonts w:ascii="Times New Roman" w:hAnsi="Times New Roman" w:cs="Times New Roman"/>
              </w:rPr>
            </w:pPr>
            <w:r w:rsidRPr="00AF51B7">
              <w:rPr>
                <w:rFonts w:ascii="Times New Roman" w:hAnsi="Times New Roman" w:cs="Times New Roman"/>
              </w:rPr>
              <w:t>Tidak membaik</w:t>
            </w:r>
          </w:p>
        </w:tc>
        <w:tc>
          <w:tcPr>
            <w:tcW w:w="0" w:type="auto"/>
            <w:vMerge/>
            <w:tcBorders>
              <w:top w:val="single" w:sz="4" w:space="0" w:color="auto"/>
              <w:left w:val="nil"/>
              <w:bottom w:val="single" w:sz="4" w:space="0" w:color="auto"/>
              <w:right w:val="nil"/>
            </w:tcBorders>
            <w:vAlign w:val="center"/>
            <w:hideMark/>
          </w:tcPr>
          <w:p w14:paraId="077C2385" w14:textId="77777777" w:rsidR="005167C8" w:rsidRPr="00AF51B7" w:rsidRDefault="005167C8" w:rsidP="00DA74AC">
            <w:pPr>
              <w:rPr>
                <w:rFonts w:ascii="Times New Roman" w:hAnsi="Times New Roman" w:cs="Times New Roman"/>
              </w:rPr>
            </w:pPr>
          </w:p>
        </w:tc>
      </w:tr>
      <w:tr w:rsidR="005167C8" w:rsidRPr="00AF51B7" w14:paraId="65BD9D06" w14:textId="77777777" w:rsidTr="00DA74AC">
        <w:trPr>
          <w:trHeight w:val="280"/>
          <w:jc w:val="center"/>
        </w:trPr>
        <w:tc>
          <w:tcPr>
            <w:tcW w:w="1950" w:type="dxa"/>
            <w:tcBorders>
              <w:top w:val="single" w:sz="4" w:space="0" w:color="auto"/>
              <w:left w:val="nil"/>
              <w:bottom w:val="single" w:sz="4" w:space="0" w:color="auto"/>
              <w:right w:val="nil"/>
            </w:tcBorders>
            <w:hideMark/>
          </w:tcPr>
          <w:p w14:paraId="70DB59AF" w14:textId="77777777" w:rsidR="005167C8" w:rsidRPr="00AF51B7" w:rsidRDefault="005167C8" w:rsidP="00DA74AC">
            <w:pPr>
              <w:tabs>
                <w:tab w:val="left" w:pos="1701"/>
              </w:tabs>
              <w:jc w:val="both"/>
              <w:rPr>
                <w:rFonts w:ascii="Times New Roman" w:hAnsi="Times New Roman" w:cs="Times New Roman"/>
              </w:rPr>
            </w:pPr>
            <w:r w:rsidRPr="00AF51B7">
              <w:rPr>
                <w:rFonts w:ascii="Times New Roman" w:hAnsi="Times New Roman" w:cs="Times New Roman"/>
              </w:rPr>
              <w:t>Sesuai</w:t>
            </w:r>
          </w:p>
        </w:tc>
        <w:tc>
          <w:tcPr>
            <w:tcW w:w="1865" w:type="dxa"/>
            <w:tcBorders>
              <w:top w:val="single" w:sz="4" w:space="0" w:color="auto"/>
              <w:left w:val="nil"/>
              <w:bottom w:val="single" w:sz="4" w:space="0" w:color="auto"/>
              <w:right w:val="nil"/>
            </w:tcBorders>
            <w:vAlign w:val="center"/>
            <w:hideMark/>
          </w:tcPr>
          <w:p w14:paraId="2A0C7CDF" w14:textId="67B0D69D" w:rsidR="005167C8" w:rsidRPr="00AF51B7" w:rsidRDefault="005167C8" w:rsidP="00DA74AC">
            <w:pPr>
              <w:tabs>
                <w:tab w:val="left" w:pos="1701"/>
              </w:tabs>
              <w:jc w:val="center"/>
              <w:rPr>
                <w:rFonts w:ascii="Times New Roman" w:hAnsi="Times New Roman" w:cs="Times New Roman"/>
              </w:rPr>
            </w:pPr>
            <w:r w:rsidRPr="00AF51B7">
              <w:rPr>
                <w:rFonts w:ascii="Times New Roman" w:hAnsi="Times New Roman" w:cs="Times New Roman"/>
              </w:rPr>
              <w:t>28 (</w:t>
            </w:r>
            <w:r w:rsidR="00165B1B">
              <w:rPr>
                <w:rFonts w:ascii="Times New Roman" w:hAnsi="Times New Roman" w:cs="Times New Roman"/>
              </w:rPr>
              <w:t>70</w:t>
            </w:r>
            <w:r w:rsidRPr="00AF51B7">
              <w:rPr>
                <w:rFonts w:ascii="Times New Roman" w:hAnsi="Times New Roman" w:cs="Times New Roman"/>
              </w:rPr>
              <w:t>%)</w:t>
            </w:r>
          </w:p>
        </w:tc>
        <w:tc>
          <w:tcPr>
            <w:tcW w:w="1866" w:type="dxa"/>
            <w:tcBorders>
              <w:top w:val="single" w:sz="4" w:space="0" w:color="auto"/>
              <w:left w:val="nil"/>
              <w:bottom w:val="single" w:sz="4" w:space="0" w:color="auto"/>
              <w:right w:val="nil"/>
            </w:tcBorders>
            <w:vAlign w:val="center"/>
            <w:hideMark/>
          </w:tcPr>
          <w:p w14:paraId="3C1F38E0" w14:textId="5C4057AC" w:rsidR="005167C8" w:rsidRPr="00AF51B7" w:rsidRDefault="005167C8" w:rsidP="00DA74AC">
            <w:pPr>
              <w:tabs>
                <w:tab w:val="left" w:pos="1701"/>
              </w:tabs>
              <w:jc w:val="center"/>
              <w:rPr>
                <w:rFonts w:ascii="Times New Roman" w:hAnsi="Times New Roman" w:cs="Times New Roman"/>
              </w:rPr>
            </w:pPr>
            <w:r w:rsidRPr="00AF51B7">
              <w:rPr>
                <w:rFonts w:ascii="Times New Roman" w:hAnsi="Times New Roman" w:cs="Times New Roman"/>
              </w:rPr>
              <w:t>1</w:t>
            </w:r>
            <w:r w:rsidR="00165B1B">
              <w:rPr>
                <w:rFonts w:ascii="Times New Roman" w:hAnsi="Times New Roman" w:cs="Times New Roman"/>
              </w:rPr>
              <w:t>2</w:t>
            </w:r>
            <w:r w:rsidRPr="00AF51B7">
              <w:rPr>
                <w:rFonts w:ascii="Times New Roman" w:hAnsi="Times New Roman" w:cs="Times New Roman"/>
              </w:rPr>
              <w:t xml:space="preserve"> (3</w:t>
            </w:r>
            <w:r w:rsidR="00165B1B">
              <w:rPr>
                <w:rFonts w:ascii="Times New Roman" w:hAnsi="Times New Roman" w:cs="Times New Roman"/>
              </w:rPr>
              <w:t>0</w:t>
            </w:r>
            <w:r w:rsidRPr="00AF51B7">
              <w:rPr>
                <w:rFonts w:ascii="Times New Roman" w:hAnsi="Times New Roman" w:cs="Times New Roman"/>
              </w:rPr>
              <w:t>%)</w:t>
            </w:r>
          </w:p>
        </w:tc>
        <w:tc>
          <w:tcPr>
            <w:tcW w:w="1903" w:type="dxa"/>
            <w:vMerge w:val="restart"/>
            <w:tcBorders>
              <w:top w:val="single" w:sz="4" w:space="0" w:color="auto"/>
              <w:left w:val="nil"/>
              <w:bottom w:val="single" w:sz="4" w:space="0" w:color="auto"/>
              <w:right w:val="nil"/>
            </w:tcBorders>
            <w:vAlign w:val="center"/>
            <w:hideMark/>
          </w:tcPr>
          <w:p w14:paraId="14D5B641" w14:textId="61816E5C" w:rsidR="005167C8" w:rsidRPr="00AF51B7" w:rsidRDefault="005167C8" w:rsidP="00DA74AC">
            <w:pPr>
              <w:tabs>
                <w:tab w:val="left" w:pos="1701"/>
              </w:tabs>
              <w:jc w:val="center"/>
              <w:rPr>
                <w:rFonts w:ascii="Times New Roman" w:hAnsi="Times New Roman" w:cs="Times New Roman"/>
              </w:rPr>
            </w:pPr>
            <w:r w:rsidRPr="00AF51B7">
              <w:rPr>
                <w:rFonts w:ascii="Times New Roman" w:hAnsi="Times New Roman" w:cs="Times New Roman"/>
              </w:rPr>
              <w:t>0,</w:t>
            </w:r>
            <w:r w:rsidR="00165B1B">
              <w:rPr>
                <w:rFonts w:ascii="Times New Roman" w:hAnsi="Times New Roman" w:cs="Times New Roman"/>
              </w:rPr>
              <w:t>152</w:t>
            </w:r>
            <w:r w:rsidRPr="00AF51B7">
              <w:rPr>
                <w:rFonts w:ascii="Times New Roman" w:hAnsi="Times New Roman" w:cs="Times New Roman"/>
              </w:rPr>
              <w:t>*</w:t>
            </w:r>
          </w:p>
        </w:tc>
      </w:tr>
      <w:tr w:rsidR="005167C8" w:rsidRPr="00AF51B7" w14:paraId="75E2ADA2" w14:textId="77777777" w:rsidTr="00DA74AC">
        <w:trPr>
          <w:trHeight w:val="271"/>
          <w:jc w:val="center"/>
        </w:trPr>
        <w:tc>
          <w:tcPr>
            <w:tcW w:w="1950" w:type="dxa"/>
            <w:tcBorders>
              <w:top w:val="single" w:sz="4" w:space="0" w:color="auto"/>
              <w:left w:val="nil"/>
              <w:bottom w:val="single" w:sz="4" w:space="0" w:color="auto"/>
              <w:right w:val="nil"/>
            </w:tcBorders>
            <w:hideMark/>
          </w:tcPr>
          <w:p w14:paraId="363DDEF9" w14:textId="77777777" w:rsidR="005167C8" w:rsidRPr="00AF51B7" w:rsidRDefault="005167C8" w:rsidP="00DA74AC">
            <w:pPr>
              <w:tabs>
                <w:tab w:val="left" w:pos="1701"/>
              </w:tabs>
              <w:spacing w:before="120"/>
              <w:jc w:val="both"/>
              <w:rPr>
                <w:rFonts w:ascii="Times New Roman" w:hAnsi="Times New Roman" w:cs="Times New Roman"/>
              </w:rPr>
            </w:pPr>
            <w:r w:rsidRPr="00AF51B7">
              <w:rPr>
                <w:rFonts w:ascii="Times New Roman" w:hAnsi="Times New Roman" w:cs="Times New Roman"/>
              </w:rPr>
              <w:t>Tidak sesuai</w:t>
            </w:r>
          </w:p>
        </w:tc>
        <w:tc>
          <w:tcPr>
            <w:tcW w:w="1865" w:type="dxa"/>
            <w:tcBorders>
              <w:top w:val="single" w:sz="4" w:space="0" w:color="auto"/>
              <w:left w:val="nil"/>
              <w:bottom w:val="single" w:sz="4" w:space="0" w:color="auto"/>
              <w:right w:val="nil"/>
            </w:tcBorders>
            <w:vAlign w:val="center"/>
            <w:hideMark/>
          </w:tcPr>
          <w:p w14:paraId="7E9FD098" w14:textId="77777777" w:rsidR="005167C8" w:rsidRPr="00AF51B7" w:rsidRDefault="005167C8" w:rsidP="00DA74AC">
            <w:pPr>
              <w:tabs>
                <w:tab w:val="left" w:pos="1701"/>
              </w:tabs>
              <w:spacing w:before="120"/>
              <w:jc w:val="center"/>
              <w:rPr>
                <w:rFonts w:ascii="Times New Roman" w:hAnsi="Times New Roman" w:cs="Times New Roman"/>
              </w:rPr>
            </w:pPr>
            <w:r w:rsidRPr="00AF51B7">
              <w:rPr>
                <w:rFonts w:ascii="Times New Roman" w:hAnsi="Times New Roman" w:cs="Times New Roman"/>
              </w:rPr>
              <w:t>3 (100%)</w:t>
            </w:r>
          </w:p>
        </w:tc>
        <w:tc>
          <w:tcPr>
            <w:tcW w:w="1866" w:type="dxa"/>
            <w:tcBorders>
              <w:top w:val="single" w:sz="4" w:space="0" w:color="auto"/>
              <w:left w:val="nil"/>
              <w:bottom w:val="single" w:sz="4" w:space="0" w:color="auto"/>
              <w:right w:val="nil"/>
            </w:tcBorders>
            <w:vAlign w:val="center"/>
            <w:hideMark/>
          </w:tcPr>
          <w:p w14:paraId="541244C3" w14:textId="77777777" w:rsidR="005167C8" w:rsidRPr="00AF51B7" w:rsidRDefault="005167C8" w:rsidP="00DA74AC">
            <w:pPr>
              <w:tabs>
                <w:tab w:val="left" w:pos="1701"/>
              </w:tabs>
              <w:spacing w:before="120"/>
              <w:jc w:val="center"/>
              <w:rPr>
                <w:rFonts w:ascii="Times New Roman" w:hAnsi="Times New Roman" w:cs="Times New Roman"/>
              </w:rPr>
            </w:pPr>
            <w:r w:rsidRPr="00AF51B7">
              <w:rPr>
                <w:rFonts w:ascii="Times New Roman" w:hAnsi="Times New Roman" w:cs="Times New Roman"/>
              </w:rPr>
              <w:t>0 (0%)</w:t>
            </w:r>
          </w:p>
        </w:tc>
        <w:tc>
          <w:tcPr>
            <w:tcW w:w="0" w:type="auto"/>
            <w:vMerge/>
            <w:tcBorders>
              <w:top w:val="single" w:sz="4" w:space="0" w:color="auto"/>
              <w:left w:val="nil"/>
              <w:bottom w:val="single" w:sz="4" w:space="0" w:color="auto"/>
              <w:right w:val="nil"/>
            </w:tcBorders>
            <w:vAlign w:val="center"/>
            <w:hideMark/>
          </w:tcPr>
          <w:p w14:paraId="5BE4DC42" w14:textId="77777777" w:rsidR="005167C8" w:rsidRPr="00AF51B7" w:rsidRDefault="005167C8" w:rsidP="00DA74AC">
            <w:pPr>
              <w:rPr>
                <w:rFonts w:ascii="Times New Roman" w:hAnsi="Times New Roman" w:cs="Times New Roman"/>
              </w:rPr>
            </w:pPr>
          </w:p>
        </w:tc>
      </w:tr>
    </w:tbl>
    <w:p w14:paraId="3F6A4404" w14:textId="339BAD6C" w:rsidR="005167C8" w:rsidRDefault="005167C8" w:rsidP="005167C8">
      <w:pPr>
        <w:spacing w:line="240" w:lineRule="auto"/>
        <w:ind w:left="142"/>
        <w:jc w:val="both"/>
        <w:rPr>
          <w:rFonts w:ascii="Times New Roman" w:hAnsi="Times New Roman" w:cs="Times New Roman"/>
          <w:sz w:val="20"/>
          <w:szCs w:val="24"/>
        </w:rPr>
      </w:pPr>
      <w:r>
        <w:rPr>
          <w:rFonts w:ascii="Times New Roman" w:hAnsi="Times New Roman" w:cs="Times New Roman"/>
          <w:sz w:val="20"/>
          <w:szCs w:val="24"/>
        </w:rPr>
        <w:t>Keterangan: *</w:t>
      </w:r>
      <w:r w:rsidR="00165B1B" w:rsidRPr="00165B1B">
        <w:rPr>
          <w:rFonts w:ascii="Times New Roman" w:hAnsi="Times New Roman" w:cs="Times New Roman"/>
          <w:sz w:val="20"/>
          <w:szCs w:val="24"/>
        </w:rPr>
        <w:t xml:space="preserve"> </w:t>
      </w:r>
      <w:r w:rsidR="00165B1B">
        <w:rPr>
          <w:rFonts w:ascii="Times New Roman" w:hAnsi="Times New Roman" w:cs="Times New Roman"/>
          <w:sz w:val="20"/>
          <w:szCs w:val="24"/>
        </w:rPr>
        <w:t>Uji likelihood ratio</w:t>
      </w:r>
      <w:r>
        <w:rPr>
          <w:rFonts w:ascii="Times New Roman" w:hAnsi="Times New Roman" w:cs="Times New Roman"/>
          <w:sz w:val="20"/>
          <w:szCs w:val="24"/>
        </w:rPr>
        <w:t>: tidak ada perbedaan (p&gt;0,05)</w:t>
      </w:r>
    </w:p>
    <w:p w14:paraId="60FB64FF" w14:textId="77777777" w:rsidR="00DA74AC" w:rsidRDefault="00DA74AC" w:rsidP="005167C8">
      <w:pPr>
        <w:spacing w:line="240" w:lineRule="auto"/>
        <w:jc w:val="both"/>
        <w:rPr>
          <w:rFonts w:ascii="Times New Roman" w:hAnsi="Times New Roman" w:cs="Times New Roman"/>
          <w:sz w:val="24"/>
        </w:rPr>
        <w:sectPr w:rsidR="00DA74AC" w:rsidSect="0076199B">
          <w:type w:val="continuous"/>
          <w:pgSz w:w="11907" w:h="16839" w:code="9"/>
          <w:pgMar w:top="1440" w:right="1440" w:bottom="1440" w:left="1440" w:header="720" w:footer="720" w:gutter="0"/>
          <w:cols w:space="720"/>
          <w:docGrid w:linePitch="360"/>
        </w:sectPr>
      </w:pPr>
      <w:bookmarkStart w:id="7" w:name="_Hlk21630397"/>
    </w:p>
    <w:p w14:paraId="7FCD098C" w14:textId="6BB3958A" w:rsidR="00DA74AC" w:rsidRDefault="005167C8" w:rsidP="00DA74AC">
      <w:pPr>
        <w:spacing w:line="240" w:lineRule="auto"/>
        <w:jc w:val="both"/>
        <w:rPr>
          <w:rFonts w:ascii="Times New Roman" w:hAnsi="Times New Roman" w:cs="Times New Roman"/>
          <w:sz w:val="24"/>
        </w:rPr>
      </w:pPr>
      <w:r w:rsidRPr="005167C8">
        <w:rPr>
          <w:rFonts w:ascii="Times New Roman" w:hAnsi="Times New Roman" w:cs="Times New Roman"/>
          <w:sz w:val="24"/>
        </w:rPr>
        <w:t xml:space="preserve">Berdasarkan </w:t>
      </w:r>
      <w:r w:rsidR="009530DD">
        <w:rPr>
          <w:rFonts w:ascii="Times New Roman" w:hAnsi="Times New Roman" w:cs="Times New Roman"/>
          <w:sz w:val="24"/>
        </w:rPr>
        <w:t>Ikatan Dokter Indonesia, (2017) dalam</w:t>
      </w:r>
      <w:bookmarkEnd w:id="7"/>
      <w:r w:rsidR="009530DD">
        <w:rPr>
          <w:rFonts w:ascii="Times New Roman" w:hAnsi="Times New Roman" w:cs="Times New Roman"/>
          <w:sz w:val="24"/>
        </w:rPr>
        <w:t xml:space="preserve"> </w:t>
      </w:r>
      <w:r w:rsidRPr="005167C8">
        <w:rPr>
          <w:rFonts w:ascii="Times New Roman" w:hAnsi="Times New Roman" w:cs="Times New Roman"/>
          <w:sz w:val="24"/>
        </w:rPr>
        <w:t xml:space="preserve">Panduan Praktik Klinis Bagi Dokter di Fasilitas Pelayanan Kesehatan Tingkat Pertama, penggunaan antibiotik empiris amoksisilin untuk anak di rekomendasikan </w:t>
      </w:r>
      <w:r w:rsidRPr="005167C8">
        <w:rPr>
          <w:rFonts w:ascii="Times New Roman" w:hAnsi="Times New Roman" w:cs="Times New Roman"/>
          <w:sz w:val="24"/>
        </w:rPr>
        <w:t xml:space="preserve">dengan dosis 50 mg/kgBB dibagi 3x/hari selama 10 hari. Namun pada penelitian ini penggunaan amoksisilin untuk anak melebihi dosis yang di anjurkan. Pada pasien PX1 usia 6 tahun dan berat badan 18 kg diberikan </w:t>
      </w:r>
      <w:r w:rsidRPr="005167C8">
        <w:rPr>
          <w:rFonts w:ascii="Times New Roman" w:hAnsi="Times New Roman" w:cs="Times New Roman"/>
          <w:sz w:val="24"/>
        </w:rPr>
        <w:lastRenderedPageBreak/>
        <w:t>amoksisilin 250mg/5ml dengan frekuensi 2 kali sehari</w:t>
      </w:r>
      <w:r w:rsidR="00165B1B">
        <w:rPr>
          <w:rFonts w:ascii="Times New Roman" w:hAnsi="Times New Roman" w:cs="Times New Roman"/>
          <w:sz w:val="24"/>
        </w:rPr>
        <w:t xml:space="preserve"> </w:t>
      </w:r>
      <w:r w:rsidR="00165B1B">
        <w:rPr>
          <w:rFonts w:ascii="Times New Roman" w:hAnsi="Times New Roman" w:cs="Times New Roman"/>
          <w:sz w:val="24"/>
          <w:szCs w:val="24"/>
        </w:rPr>
        <w:t>1 sendok makan</w:t>
      </w:r>
      <w:r w:rsidRPr="005167C8">
        <w:rPr>
          <w:rFonts w:ascii="Times New Roman" w:hAnsi="Times New Roman" w:cs="Times New Roman"/>
          <w:sz w:val="24"/>
        </w:rPr>
        <w:t xml:space="preserve">. Sehingga dalam sehari pasien mendapatkan dosis sebesar 1500 mg/hari, sedangkan sesuai hitungan dosis yang direkomendasikan untuk pasien tersebut adalah 900 mg/hari. Pada pasien PX41 juga diberikan amoksisilin 250mg/5ml dengan </w:t>
      </w:r>
      <w:r w:rsidR="00DA74AC" w:rsidRPr="005167C8">
        <w:rPr>
          <w:rFonts w:ascii="Times New Roman" w:hAnsi="Times New Roman" w:cs="Times New Roman"/>
          <w:sz w:val="24"/>
        </w:rPr>
        <w:t>frekuensi 3 kali sehari</w:t>
      </w:r>
      <w:r w:rsidR="00165B1B">
        <w:rPr>
          <w:rFonts w:ascii="Times New Roman" w:hAnsi="Times New Roman" w:cs="Times New Roman"/>
          <w:sz w:val="24"/>
        </w:rPr>
        <w:t xml:space="preserve"> </w:t>
      </w:r>
      <w:r w:rsidR="00165B1B">
        <w:rPr>
          <w:rFonts w:ascii="Times New Roman" w:hAnsi="Times New Roman" w:cs="Times New Roman"/>
          <w:sz w:val="24"/>
          <w:szCs w:val="24"/>
        </w:rPr>
        <w:t>1 sendok makan</w:t>
      </w:r>
      <w:r w:rsidR="00DA74AC" w:rsidRPr="005167C8">
        <w:rPr>
          <w:rFonts w:ascii="Times New Roman" w:hAnsi="Times New Roman" w:cs="Times New Roman"/>
          <w:sz w:val="24"/>
        </w:rPr>
        <w:t>, dengan berat badan 38 kg dan usia 9 tahun. Sehingga dalam sehari pasien mendapatkan dosis sebesar 2250 mg/hari, sedangkan sesuai hitungan dosis yang direkomendasikan untuk pasien tersebut adalah 1900 mg/hari. Pada panduan penggunaan antibiotik empiris juga, eritomisin dapat digunakan dan direkomendasikan dengan dosis sebesar 500 mg dengan frekuensi 4 kali sehari yang dapat digunakan selama 6-10 hari. Namun pada penelitian ini terdapat pasien yang diberikan antibiotik empiris eritromisin dengan dosis 3 kali sehari 500 mg selama 5 hari.</w:t>
      </w:r>
    </w:p>
    <w:p w14:paraId="77F42A54" w14:textId="77777777" w:rsidR="00DA74AC" w:rsidRDefault="00DA74AC" w:rsidP="00DA74AC">
      <w:pPr>
        <w:spacing w:line="240" w:lineRule="auto"/>
        <w:jc w:val="both"/>
        <w:rPr>
          <w:rFonts w:ascii="Times New Roman" w:hAnsi="Times New Roman" w:cs="Times New Roman"/>
          <w:sz w:val="24"/>
        </w:rPr>
      </w:pPr>
      <w:r w:rsidRPr="00A34225">
        <w:rPr>
          <w:rFonts w:ascii="Times New Roman" w:hAnsi="Times New Roman" w:cs="Times New Roman" w:hint="eastAsia"/>
          <w:sz w:val="24"/>
        </w:rPr>
        <w:t xml:space="preserve">Berdasarkan pada CLSI (2014), salah satu syarat dalam pembuatan antibiogram adalah sampel yang dimiliki setidaknya </w:t>
      </w:r>
      <w:r w:rsidRPr="00A34225">
        <w:rPr>
          <w:rFonts w:ascii="Times New Roman" w:hAnsi="Times New Roman" w:cs="Times New Roman" w:hint="eastAsia"/>
          <w:sz w:val="24"/>
        </w:rPr>
        <w:t>≥</w:t>
      </w:r>
      <w:r w:rsidRPr="00A34225">
        <w:rPr>
          <w:rFonts w:ascii="Times New Roman" w:hAnsi="Times New Roman" w:cs="Times New Roman" w:hint="eastAsia"/>
          <w:sz w:val="24"/>
        </w:rPr>
        <w:t>30 isolat. Namun pada penelitian ini, jumlah isolat yang diperoleh tidak mencukupi standar pada CLSI. Sehingga peneliti hanya memberikan gam</w:t>
      </w:r>
      <w:r w:rsidRPr="00A34225">
        <w:rPr>
          <w:rFonts w:ascii="Times New Roman" w:hAnsi="Times New Roman" w:cs="Times New Roman"/>
          <w:sz w:val="24"/>
        </w:rPr>
        <w:t>baran mengenai sensitivitas antibiotik empirik yang digunakan di puskesmas Jetis Yogyakarta terhadap bakteri hasil kultur.</w:t>
      </w:r>
      <w:r>
        <w:rPr>
          <w:rFonts w:ascii="Times New Roman" w:hAnsi="Times New Roman" w:cs="Times New Roman"/>
          <w:sz w:val="24"/>
        </w:rPr>
        <w:t xml:space="preserve"> </w:t>
      </w:r>
      <w:r w:rsidRPr="00A34225">
        <w:rPr>
          <w:rFonts w:ascii="Times New Roman" w:hAnsi="Times New Roman" w:cs="Times New Roman"/>
          <w:sz w:val="24"/>
        </w:rPr>
        <w:t xml:space="preserve">Pada penelitian ini diperoleh sebanyak 59 isolat dengan persentase Gram negatif sebesar 50,8% dan Gram positif sebesar 27,2%. Pada Gram negatif, bakteri yang dominan adalah Klebsiella ρneumoniae dengan jumlah isolat sebanyak 17 (28,8%) kemudian Hemophilus spp dengan jumlah isolate sebanyak 4 (6,8%). Sementara pada Gram positif, bakteri yang dominan adalah Streptococcus ρneumoniae dengan jumlah isolate sebanyak 5 (8,5%) kemudian Staphylococcus aureus dengan jumlah isolate sebanyak 4 (6,8%). Serta flora </w:t>
      </w:r>
      <w:r w:rsidRPr="00A34225">
        <w:rPr>
          <w:rFonts w:ascii="Times New Roman" w:hAnsi="Times New Roman" w:cs="Times New Roman"/>
          <w:sz w:val="24"/>
        </w:rPr>
        <w:t>normal Streptococcus α sebanyak 13 isolat (22 %).</w:t>
      </w:r>
    </w:p>
    <w:p w14:paraId="6D08DD10" w14:textId="77777777" w:rsidR="00DA74AC" w:rsidRDefault="00DA74AC" w:rsidP="00DA74AC">
      <w:pPr>
        <w:spacing w:line="240" w:lineRule="auto"/>
        <w:jc w:val="both"/>
        <w:rPr>
          <w:rFonts w:ascii="Times New Roman" w:hAnsi="Times New Roman" w:cs="Times New Roman"/>
          <w:color w:val="000000"/>
          <w:sz w:val="24"/>
          <w:szCs w:val="24"/>
        </w:rPr>
      </w:pPr>
      <w:r>
        <w:rPr>
          <w:rFonts w:ascii="Times New Roman" w:hAnsi="Times New Roman" w:cs="Times New Roman"/>
          <w:i/>
          <w:sz w:val="24"/>
          <w:szCs w:val="24"/>
        </w:rPr>
        <w:t>Klebsiella ρneumoniae</w:t>
      </w:r>
      <w:r>
        <w:rPr>
          <w:rFonts w:ascii="Times New Roman" w:hAnsi="Times New Roman" w:cs="Times New Roman"/>
          <w:sz w:val="24"/>
          <w:szCs w:val="24"/>
        </w:rPr>
        <w:t xml:space="preserve"> adalah basil Gram negatif yang sering muncul pada kasus infeksi di komunitas (</w:t>
      </w:r>
      <w:r>
        <w:rPr>
          <w:rFonts w:ascii="Times New Roman" w:hAnsi="Times New Roman" w:cs="Times New Roman"/>
          <w:i/>
          <w:sz w:val="24"/>
          <w:szCs w:val="24"/>
        </w:rPr>
        <w:t>community-acquired</w:t>
      </w:r>
      <w:r>
        <w:rPr>
          <w:rFonts w:ascii="Times New Roman" w:hAnsi="Times New Roman" w:cs="Times New Roman"/>
          <w:sz w:val="24"/>
          <w:szCs w:val="24"/>
        </w:rPr>
        <w:t xml:space="preserve">) dan pada kasus infeksi nosokomial (Kang dkk., 2006). Rodrigo‐Troyano dan Sibila (2017) juga mengatakan bahwa </w:t>
      </w:r>
      <w:r>
        <w:rPr>
          <w:rFonts w:ascii="Times New Roman" w:hAnsi="Times New Roman" w:cs="Times New Roman"/>
          <w:i/>
          <w:sz w:val="24"/>
          <w:szCs w:val="24"/>
        </w:rPr>
        <w:t xml:space="preserve">Klebsiella ρneumoniae </w:t>
      </w:r>
      <w:r>
        <w:rPr>
          <w:rFonts w:ascii="Times New Roman" w:hAnsi="Times New Roman" w:cs="Times New Roman"/>
          <w:sz w:val="24"/>
          <w:szCs w:val="24"/>
        </w:rPr>
        <w:t xml:space="preserve">merupakan salah satu mikroorganisme yang berperan sebagai patogen penyebab kasus infeksi saluran pernafasan. Pada masyarakat umum, </w:t>
      </w:r>
      <w:r>
        <w:rPr>
          <w:rFonts w:ascii="Times New Roman" w:hAnsi="Times New Roman" w:cs="Times New Roman"/>
          <w:i/>
          <w:sz w:val="24"/>
          <w:szCs w:val="24"/>
        </w:rPr>
        <w:t xml:space="preserve">Klebsiella pneumoniae </w:t>
      </w:r>
      <w:r>
        <w:rPr>
          <w:rFonts w:ascii="Times New Roman" w:hAnsi="Times New Roman" w:cs="Times New Roman"/>
          <w:sz w:val="24"/>
          <w:szCs w:val="24"/>
        </w:rPr>
        <w:t xml:space="preserve">ditemukan sekitar 5%-38% di tinja dan 1%-6% di daerah nosofaring. </w:t>
      </w:r>
      <w:r>
        <w:rPr>
          <w:rFonts w:ascii="Times New Roman" w:hAnsi="Times New Roman" w:cs="Times New Roman"/>
          <w:i/>
          <w:sz w:val="24"/>
          <w:szCs w:val="24"/>
        </w:rPr>
        <w:t xml:space="preserve">Klebsiella pneumoniae </w:t>
      </w:r>
      <w:r>
        <w:rPr>
          <w:rFonts w:ascii="Times New Roman" w:hAnsi="Times New Roman" w:cs="Times New Roman"/>
          <w:sz w:val="24"/>
          <w:szCs w:val="24"/>
        </w:rPr>
        <w:t xml:space="preserve">juga memiliki prevalensi tertinggi pada pasien yang dirawat di rumah sakit daripada yang ditemukan di masyarakat (Esposito dkk., 2018; Walter dkk., 2018). Namun pada penelitian ini </w:t>
      </w:r>
      <w:r>
        <w:rPr>
          <w:rFonts w:ascii="Times New Roman" w:hAnsi="Times New Roman" w:cs="Times New Roman"/>
          <w:i/>
          <w:color w:val="000000"/>
          <w:sz w:val="24"/>
          <w:szCs w:val="24"/>
        </w:rPr>
        <w:t xml:space="preserve">Klebsiella Pneumoniae </w:t>
      </w:r>
      <w:r>
        <w:rPr>
          <w:rFonts w:ascii="Times New Roman" w:hAnsi="Times New Roman" w:cs="Times New Roman"/>
          <w:color w:val="000000"/>
          <w:sz w:val="24"/>
          <w:szCs w:val="24"/>
        </w:rPr>
        <w:t>merupakan bakteri Gram negatif</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dengan jumlah isolat sebanyak 17 (56,7%).</w:t>
      </w:r>
    </w:p>
    <w:p w14:paraId="08159518" w14:textId="77777777" w:rsidR="00DA74AC" w:rsidRDefault="00DA74AC" w:rsidP="00DA74AC">
      <w:pPr>
        <w:spacing w:line="240" w:lineRule="auto"/>
        <w:jc w:val="both"/>
        <w:rPr>
          <w:rFonts w:ascii="Times New Roman" w:hAnsi="Times New Roman" w:cs="Times New Roman"/>
          <w:sz w:val="24"/>
        </w:rPr>
      </w:pPr>
      <w:r>
        <w:rPr>
          <w:rFonts w:ascii="Times New Roman" w:hAnsi="Times New Roman" w:cs="Times New Roman"/>
          <w:i/>
          <w:color w:val="000000"/>
          <w:sz w:val="24"/>
          <w:szCs w:val="24"/>
        </w:rPr>
        <w:t xml:space="preserve">Klebsiella </w:t>
      </w:r>
      <w:r>
        <w:rPr>
          <w:rFonts w:ascii="Times New Roman" w:hAnsi="Times New Roman" w:cs="Times New Roman"/>
          <w:i/>
          <w:sz w:val="24"/>
          <w:szCs w:val="24"/>
        </w:rPr>
        <w:t>ρ</w:t>
      </w:r>
      <w:r>
        <w:rPr>
          <w:rFonts w:ascii="Times New Roman" w:hAnsi="Times New Roman" w:cs="Times New Roman"/>
          <w:i/>
          <w:color w:val="000000"/>
          <w:sz w:val="24"/>
          <w:szCs w:val="24"/>
        </w:rPr>
        <w:t xml:space="preserve">neumoniae </w:t>
      </w:r>
      <w:r>
        <w:rPr>
          <w:rFonts w:ascii="Times New Roman" w:hAnsi="Times New Roman" w:cs="Times New Roman"/>
          <w:color w:val="000000"/>
          <w:sz w:val="24"/>
          <w:szCs w:val="24"/>
        </w:rPr>
        <w:t xml:space="preserve">merupakan spesies bakteri gram negatif yang secara signifikan lebih banyak ditemukan pada orang dewasa daripada anak-anak dan merupakan bakteri </w:t>
      </w:r>
      <w:r>
        <w:rPr>
          <w:rFonts w:ascii="Times New Roman" w:hAnsi="Times New Roman" w:cs="Times New Roman"/>
          <w:i/>
          <w:sz w:val="24"/>
          <w:szCs w:val="24"/>
        </w:rPr>
        <w:t>Carriage</w:t>
      </w:r>
      <w:r>
        <w:rPr>
          <w:rFonts w:ascii="Times New Roman" w:hAnsi="Times New Roman" w:cs="Times New Roman"/>
          <w:sz w:val="24"/>
          <w:szCs w:val="24"/>
        </w:rPr>
        <w:t xml:space="preserve"> (pembawa) pada daerah nosofaring</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Klebsiella </w:t>
      </w:r>
      <w:r>
        <w:rPr>
          <w:rFonts w:ascii="Times New Roman" w:hAnsi="Times New Roman" w:cs="Times New Roman"/>
          <w:i/>
          <w:sz w:val="24"/>
          <w:szCs w:val="24"/>
        </w:rPr>
        <w:t>ρ</w:t>
      </w:r>
      <w:r>
        <w:rPr>
          <w:rFonts w:ascii="Times New Roman" w:hAnsi="Times New Roman" w:cs="Times New Roman"/>
          <w:i/>
          <w:color w:val="000000"/>
          <w:sz w:val="24"/>
          <w:szCs w:val="24"/>
        </w:rPr>
        <w:t>neumoniae</w:t>
      </w:r>
      <w:r>
        <w:rPr>
          <w:rFonts w:ascii="Times New Roman" w:hAnsi="Times New Roman" w:cs="Times New Roman"/>
          <w:color w:val="000000"/>
          <w:sz w:val="24"/>
          <w:szCs w:val="24"/>
        </w:rPr>
        <w:t xml:space="preserve"> </w:t>
      </w:r>
      <w:r>
        <w:rPr>
          <w:rFonts w:ascii="Times New Roman" w:hAnsi="Times New Roman" w:cs="Times New Roman"/>
          <w:i/>
          <w:sz w:val="24"/>
          <w:szCs w:val="24"/>
        </w:rPr>
        <w:t xml:space="preserve">carriage </w:t>
      </w:r>
      <w:r>
        <w:rPr>
          <w:rFonts w:ascii="Times New Roman" w:hAnsi="Times New Roman" w:cs="Times New Roman"/>
          <w:sz w:val="24"/>
          <w:szCs w:val="24"/>
        </w:rPr>
        <w:t xml:space="preserve">dapat ditemukan pada kondisi tertentu, seperti lamanya rawat inap di rumah sakit, dan riwayat penggunaan antibiotik (Parm., dkk 2011; Farida., dkk 2013). Pada penelitian yang dilakukan oleh Farida., dkk (2013) di Semarang, menyatakan bahwa kehadiran </w:t>
      </w:r>
      <w:r>
        <w:rPr>
          <w:rFonts w:ascii="Times New Roman" w:hAnsi="Times New Roman" w:cs="Times New Roman"/>
          <w:i/>
          <w:color w:val="000000"/>
          <w:sz w:val="24"/>
          <w:szCs w:val="24"/>
        </w:rPr>
        <w:t xml:space="preserve">Klebsiella </w:t>
      </w:r>
      <w:r>
        <w:rPr>
          <w:rFonts w:ascii="Times New Roman" w:hAnsi="Times New Roman" w:cs="Times New Roman"/>
          <w:i/>
          <w:sz w:val="24"/>
          <w:szCs w:val="24"/>
        </w:rPr>
        <w:t>ρ</w:t>
      </w:r>
      <w:r>
        <w:rPr>
          <w:rFonts w:ascii="Times New Roman" w:hAnsi="Times New Roman" w:cs="Times New Roman"/>
          <w:i/>
          <w:color w:val="000000"/>
          <w:sz w:val="24"/>
          <w:szCs w:val="24"/>
        </w:rPr>
        <w:t>neumoniae</w:t>
      </w:r>
      <w:r>
        <w:rPr>
          <w:rFonts w:ascii="Times New Roman" w:hAnsi="Times New Roman" w:cs="Times New Roman"/>
          <w:color w:val="000000"/>
          <w:sz w:val="24"/>
          <w:szCs w:val="24"/>
        </w:rPr>
        <w:t xml:space="preserve"> </w:t>
      </w:r>
      <w:r>
        <w:rPr>
          <w:rFonts w:ascii="Times New Roman" w:hAnsi="Times New Roman" w:cs="Times New Roman"/>
          <w:i/>
          <w:sz w:val="24"/>
          <w:szCs w:val="24"/>
        </w:rPr>
        <w:t xml:space="preserve">carriage </w:t>
      </w:r>
      <w:r>
        <w:rPr>
          <w:rFonts w:ascii="Times New Roman" w:hAnsi="Times New Roman" w:cs="Times New Roman"/>
          <w:sz w:val="24"/>
          <w:szCs w:val="24"/>
        </w:rPr>
        <w:t xml:space="preserve">lebih dihubungkan dengan kurangnya kebersihan makanan dan air. Masyarakat yang menggunakan air yang tercemar atau rekontaminasi oleh </w:t>
      </w:r>
      <w:r>
        <w:rPr>
          <w:rFonts w:ascii="Times New Roman" w:hAnsi="Times New Roman" w:cs="Times New Roman"/>
          <w:i/>
          <w:color w:val="000000"/>
          <w:sz w:val="24"/>
          <w:szCs w:val="24"/>
        </w:rPr>
        <w:t xml:space="preserve">Klebsiella </w:t>
      </w:r>
      <w:r>
        <w:rPr>
          <w:rFonts w:ascii="Times New Roman" w:hAnsi="Times New Roman" w:cs="Times New Roman"/>
          <w:i/>
          <w:sz w:val="24"/>
          <w:szCs w:val="24"/>
        </w:rPr>
        <w:t>ρ</w:t>
      </w:r>
      <w:r>
        <w:rPr>
          <w:rFonts w:ascii="Times New Roman" w:hAnsi="Times New Roman" w:cs="Times New Roman"/>
          <w:i/>
          <w:color w:val="000000"/>
          <w:sz w:val="24"/>
          <w:szCs w:val="24"/>
        </w:rPr>
        <w:t xml:space="preserve">neumoniae </w:t>
      </w:r>
      <w:r>
        <w:rPr>
          <w:rFonts w:ascii="Times New Roman" w:hAnsi="Times New Roman" w:cs="Times New Roman"/>
          <w:color w:val="000000"/>
          <w:sz w:val="24"/>
          <w:szCs w:val="24"/>
        </w:rPr>
        <w:t>dapat meningkatkan resiko transmini pada nosofaring (</w:t>
      </w:r>
      <w:r>
        <w:rPr>
          <w:rFonts w:ascii="Times New Roman" w:hAnsi="Times New Roman" w:cs="Times New Roman"/>
          <w:sz w:val="24"/>
          <w:szCs w:val="24"/>
        </w:rPr>
        <w:t>Haryani., dkk 2007</w:t>
      </w:r>
      <w:r>
        <w:rPr>
          <w:rFonts w:ascii="Times New Roman" w:hAnsi="Times New Roman" w:cs="Times New Roman"/>
          <w:color w:val="000000"/>
          <w:sz w:val="24"/>
          <w:szCs w:val="24"/>
        </w:rPr>
        <w:t>).</w:t>
      </w:r>
    </w:p>
    <w:p w14:paraId="6F5A9EC9" w14:textId="696C6E36" w:rsidR="00DA74AC" w:rsidRDefault="00DA74AC" w:rsidP="005167C8">
      <w:pPr>
        <w:spacing w:line="240" w:lineRule="auto"/>
        <w:jc w:val="both"/>
        <w:rPr>
          <w:rFonts w:ascii="Times New Roman" w:hAnsi="Times New Roman" w:cs="Times New Roman"/>
          <w:sz w:val="24"/>
        </w:rPr>
        <w:sectPr w:rsidR="00DA74AC" w:rsidSect="00DA74AC">
          <w:type w:val="continuous"/>
          <w:pgSz w:w="11907" w:h="16839" w:code="9"/>
          <w:pgMar w:top="1440" w:right="1440" w:bottom="1440" w:left="1440" w:header="720" w:footer="720" w:gutter="0"/>
          <w:cols w:num="2" w:space="283"/>
          <w:docGrid w:linePitch="360"/>
        </w:sectPr>
      </w:pPr>
    </w:p>
    <w:p w14:paraId="251CED0C" w14:textId="7A07A664" w:rsidR="00A34225" w:rsidRDefault="00A34225" w:rsidP="00D35E66">
      <w:pPr>
        <w:spacing w:after="0" w:line="240" w:lineRule="auto"/>
        <w:jc w:val="center"/>
        <w:rPr>
          <w:rFonts w:ascii="Times New Roman" w:hAnsi="Times New Roman" w:cs="Times New Roman"/>
          <w:sz w:val="24"/>
        </w:rPr>
      </w:pPr>
      <w:r>
        <w:rPr>
          <w:rFonts w:ascii="Times New Roman" w:hAnsi="Times New Roman" w:cs="Times New Roman"/>
          <w:b/>
        </w:rPr>
        <w:t>Tabel 5. Gambaran pola kuman pada pasien ISPA di puskesmas Jetis Yogyakarta selama periode bulan April-Agustus 2019.</w:t>
      </w:r>
    </w:p>
    <w:tbl>
      <w:tblPr>
        <w:tblStyle w:val="TableGrid"/>
        <w:tblW w:w="7791" w:type="dxa"/>
        <w:tblInd w:w="0" w:type="dxa"/>
        <w:tblLook w:val="04A0" w:firstRow="1" w:lastRow="0" w:firstColumn="1" w:lastColumn="0" w:noHBand="0" w:noVBand="1"/>
      </w:tblPr>
      <w:tblGrid>
        <w:gridCol w:w="4536"/>
        <w:gridCol w:w="709"/>
        <w:gridCol w:w="1837"/>
        <w:gridCol w:w="709"/>
      </w:tblGrid>
      <w:tr w:rsidR="00A34225" w:rsidRPr="00D35E66" w14:paraId="2B81996F" w14:textId="77777777" w:rsidTr="00DA74AC">
        <w:tc>
          <w:tcPr>
            <w:tcW w:w="4536" w:type="dxa"/>
            <w:tcBorders>
              <w:top w:val="single" w:sz="4" w:space="0" w:color="auto"/>
              <w:left w:val="nil"/>
              <w:bottom w:val="single" w:sz="4" w:space="0" w:color="auto"/>
              <w:right w:val="nil"/>
            </w:tcBorders>
            <w:vAlign w:val="center"/>
            <w:hideMark/>
          </w:tcPr>
          <w:p w14:paraId="38C9AB8D"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Nama bakteri</w:t>
            </w:r>
          </w:p>
        </w:tc>
        <w:tc>
          <w:tcPr>
            <w:tcW w:w="709" w:type="dxa"/>
            <w:tcBorders>
              <w:top w:val="single" w:sz="4" w:space="0" w:color="auto"/>
              <w:left w:val="nil"/>
              <w:bottom w:val="single" w:sz="4" w:space="0" w:color="auto"/>
              <w:right w:val="nil"/>
            </w:tcBorders>
            <w:vAlign w:val="center"/>
          </w:tcPr>
          <w:p w14:paraId="2BC7127F" w14:textId="77777777" w:rsidR="00A34225" w:rsidRPr="00D35E66" w:rsidRDefault="00A34225" w:rsidP="00DA74AC">
            <w:pPr>
              <w:pStyle w:val="ListParagraph"/>
              <w:spacing w:after="0" w:line="240" w:lineRule="auto"/>
              <w:ind w:left="0"/>
              <w:jc w:val="center"/>
              <w:rPr>
                <w:rFonts w:ascii="Times New Roman" w:hAnsi="Times New Roman" w:cs="Times New Roman"/>
              </w:rPr>
            </w:pPr>
          </w:p>
        </w:tc>
        <w:tc>
          <w:tcPr>
            <w:tcW w:w="1837" w:type="dxa"/>
            <w:tcBorders>
              <w:top w:val="single" w:sz="4" w:space="0" w:color="auto"/>
              <w:left w:val="nil"/>
              <w:bottom w:val="single" w:sz="4" w:space="0" w:color="auto"/>
              <w:right w:val="nil"/>
            </w:tcBorders>
            <w:vAlign w:val="center"/>
            <w:hideMark/>
          </w:tcPr>
          <w:p w14:paraId="0F1D568D"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Jumlah isolate (n= 59)</w:t>
            </w:r>
          </w:p>
        </w:tc>
        <w:tc>
          <w:tcPr>
            <w:tcW w:w="709" w:type="dxa"/>
            <w:tcBorders>
              <w:top w:val="single" w:sz="4" w:space="0" w:color="auto"/>
              <w:left w:val="nil"/>
              <w:bottom w:val="single" w:sz="4" w:space="0" w:color="auto"/>
              <w:right w:val="nil"/>
            </w:tcBorders>
            <w:vAlign w:val="center"/>
            <w:hideMark/>
          </w:tcPr>
          <w:p w14:paraId="738E0C7A"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w:t>
            </w:r>
          </w:p>
        </w:tc>
      </w:tr>
      <w:tr w:rsidR="00A34225" w:rsidRPr="00D35E66" w14:paraId="5DC9D646" w14:textId="77777777" w:rsidTr="00DA74AC">
        <w:tc>
          <w:tcPr>
            <w:tcW w:w="4536" w:type="dxa"/>
            <w:tcBorders>
              <w:top w:val="single" w:sz="4" w:space="0" w:color="auto"/>
              <w:left w:val="nil"/>
              <w:bottom w:val="nil"/>
              <w:right w:val="nil"/>
            </w:tcBorders>
            <w:hideMark/>
          </w:tcPr>
          <w:p w14:paraId="25E80D92" w14:textId="77777777" w:rsidR="00A34225" w:rsidRPr="00D35E66" w:rsidRDefault="00A34225" w:rsidP="00DA74AC">
            <w:pPr>
              <w:pStyle w:val="ListParagraph"/>
              <w:spacing w:after="0" w:line="240" w:lineRule="auto"/>
              <w:ind w:left="0"/>
              <w:jc w:val="both"/>
              <w:rPr>
                <w:rFonts w:ascii="Times New Roman" w:hAnsi="Times New Roman" w:cs="Times New Roman"/>
              </w:rPr>
            </w:pPr>
            <w:r w:rsidRPr="00D35E66">
              <w:rPr>
                <w:rFonts w:ascii="Times New Roman" w:hAnsi="Times New Roman" w:cs="Times New Roman"/>
                <w:color w:val="000000"/>
              </w:rPr>
              <w:t>Gram negatif</w:t>
            </w:r>
          </w:p>
        </w:tc>
        <w:tc>
          <w:tcPr>
            <w:tcW w:w="709" w:type="dxa"/>
            <w:tcBorders>
              <w:top w:val="single" w:sz="4" w:space="0" w:color="auto"/>
              <w:left w:val="nil"/>
              <w:bottom w:val="nil"/>
              <w:right w:val="nil"/>
            </w:tcBorders>
          </w:tcPr>
          <w:p w14:paraId="525D5023"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single" w:sz="4" w:space="0" w:color="auto"/>
              <w:left w:val="nil"/>
              <w:bottom w:val="nil"/>
              <w:right w:val="nil"/>
            </w:tcBorders>
          </w:tcPr>
          <w:p w14:paraId="60D82E19"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709" w:type="dxa"/>
            <w:tcBorders>
              <w:top w:val="single" w:sz="4" w:space="0" w:color="auto"/>
              <w:left w:val="nil"/>
              <w:bottom w:val="nil"/>
              <w:right w:val="nil"/>
            </w:tcBorders>
          </w:tcPr>
          <w:p w14:paraId="606D57B0" w14:textId="77777777" w:rsidR="00A34225" w:rsidRPr="00D35E66" w:rsidRDefault="00A34225" w:rsidP="00DA74AC">
            <w:pPr>
              <w:pStyle w:val="ListParagraph"/>
              <w:spacing w:after="0" w:line="240" w:lineRule="auto"/>
              <w:ind w:left="0"/>
              <w:jc w:val="both"/>
              <w:rPr>
                <w:rFonts w:ascii="Times New Roman" w:hAnsi="Times New Roman" w:cs="Times New Roman"/>
              </w:rPr>
            </w:pPr>
          </w:p>
        </w:tc>
      </w:tr>
      <w:tr w:rsidR="00A34225" w:rsidRPr="00D35E66" w14:paraId="37B74F5D" w14:textId="77777777" w:rsidTr="00DA74AC">
        <w:tc>
          <w:tcPr>
            <w:tcW w:w="4536" w:type="dxa"/>
            <w:tcBorders>
              <w:top w:val="nil"/>
              <w:left w:val="nil"/>
              <w:bottom w:val="nil"/>
              <w:right w:val="nil"/>
            </w:tcBorders>
            <w:vAlign w:val="bottom"/>
            <w:hideMark/>
          </w:tcPr>
          <w:p w14:paraId="232E2561" w14:textId="77777777" w:rsidR="00A34225" w:rsidRPr="00D35E66" w:rsidRDefault="00A34225" w:rsidP="00DA74AC">
            <w:pPr>
              <w:pStyle w:val="ListParagraph"/>
              <w:spacing w:after="0" w:line="240" w:lineRule="auto"/>
              <w:ind w:left="309"/>
              <w:jc w:val="both"/>
              <w:rPr>
                <w:rFonts w:ascii="Times New Roman" w:hAnsi="Times New Roman" w:cs="Times New Roman"/>
                <w:i/>
              </w:rPr>
            </w:pPr>
            <w:r w:rsidRPr="00D35E66">
              <w:rPr>
                <w:rFonts w:ascii="Times New Roman" w:hAnsi="Times New Roman" w:cs="Times New Roman"/>
                <w:i/>
                <w:color w:val="000000"/>
              </w:rPr>
              <w:t>Klebsiella ρneumoniae</w:t>
            </w:r>
          </w:p>
        </w:tc>
        <w:tc>
          <w:tcPr>
            <w:tcW w:w="709" w:type="dxa"/>
            <w:tcBorders>
              <w:top w:val="nil"/>
              <w:left w:val="nil"/>
              <w:bottom w:val="nil"/>
              <w:right w:val="nil"/>
            </w:tcBorders>
            <w:vAlign w:val="bottom"/>
          </w:tcPr>
          <w:p w14:paraId="3C5CCDEF"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nil"/>
              <w:left w:val="nil"/>
              <w:bottom w:val="nil"/>
              <w:right w:val="nil"/>
            </w:tcBorders>
            <w:vAlign w:val="center"/>
            <w:hideMark/>
          </w:tcPr>
          <w:p w14:paraId="4F551F8B"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17</w:t>
            </w:r>
          </w:p>
        </w:tc>
        <w:tc>
          <w:tcPr>
            <w:tcW w:w="709" w:type="dxa"/>
            <w:tcBorders>
              <w:top w:val="nil"/>
              <w:left w:val="nil"/>
              <w:bottom w:val="nil"/>
              <w:right w:val="nil"/>
            </w:tcBorders>
            <w:hideMark/>
          </w:tcPr>
          <w:p w14:paraId="0FA7E98C"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28,8</w:t>
            </w:r>
          </w:p>
        </w:tc>
      </w:tr>
      <w:tr w:rsidR="00A34225" w:rsidRPr="00D35E66" w14:paraId="10924974" w14:textId="77777777" w:rsidTr="00DA74AC">
        <w:tc>
          <w:tcPr>
            <w:tcW w:w="4536" w:type="dxa"/>
            <w:tcBorders>
              <w:top w:val="nil"/>
              <w:left w:val="nil"/>
              <w:bottom w:val="nil"/>
              <w:right w:val="nil"/>
            </w:tcBorders>
            <w:vAlign w:val="bottom"/>
            <w:hideMark/>
          </w:tcPr>
          <w:p w14:paraId="0E6C82C6" w14:textId="77777777" w:rsidR="00A34225" w:rsidRPr="00D35E66" w:rsidRDefault="00A34225" w:rsidP="00DA74AC">
            <w:pPr>
              <w:pStyle w:val="ListParagraph"/>
              <w:spacing w:after="0" w:line="240" w:lineRule="auto"/>
              <w:ind w:left="309"/>
              <w:jc w:val="both"/>
              <w:rPr>
                <w:rFonts w:ascii="Times New Roman" w:hAnsi="Times New Roman" w:cs="Times New Roman"/>
                <w:i/>
              </w:rPr>
            </w:pPr>
            <w:r w:rsidRPr="00D35E66">
              <w:rPr>
                <w:rFonts w:ascii="Times New Roman" w:hAnsi="Times New Roman" w:cs="Times New Roman"/>
                <w:i/>
                <w:color w:val="000000"/>
              </w:rPr>
              <w:t xml:space="preserve">Hemophilus spp. </w:t>
            </w:r>
          </w:p>
        </w:tc>
        <w:tc>
          <w:tcPr>
            <w:tcW w:w="709" w:type="dxa"/>
            <w:tcBorders>
              <w:top w:val="nil"/>
              <w:left w:val="nil"/>
              <w:bottom w:val="nil"/>
              <w:right w:val="nil"/>
            </w:tcBorders>
            <w:vAlign w:val="bottom"/>
          </w:tcPr>
          <w:p w14:paraId="73E18D30"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nil"/>
              <w:left w:val="nil"/>
              <w:bottom w:val="nil"/>
              <w:right w:val="nil"/>
            </w:tcBorders>
            <w:vAlign w:val="center"/>
            <w:hideMark/>
          </w:tcPr>
          <w:p w14:paraId="2EF27189"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4</w:t>
            </w:r>
          </w:p>
        </w:tc>
        <w:tc>
          <w:tcPr>
            <w:tcW w:w="709" w:type="dxa"/>
            <w:tcBorders>
              <w:top w:val="nil"/>
              <w:left w:val="nil"/>
              <w:bottom w:val="nil"/>
              <w:right w:val="nil"/>
            </w:tcBorders>
            <w:hideMark/>
          </w:tcPr>
          <w:p w14:paraId="25FA5B6E"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6,8</w:t>
            </w:r>
          </w:p>
        </w:tc>
      </w:tr>
      <w:tr w:rsidR="00A34225" w:rsidRPr="00D35E66" w14:paraId="0D726DF1" w14:textId="77777777" w:rsidTr="00DA74AC">
        <w:tc>
          <w:tcPr>
            <w:tcW w:w="4536" w:type="dxa"/>
            <w:tcBorders>
              <w:top w:val="nil"/>
              <w:left w:val="nil"/>
              <w:bottom w:val="nil"/>
              <w:right w:val="nil"/>
            </w:tcBorders>
            <w:vAlign w:val="bottom"/>
            <w:hideMark/>
          </w:tcPr>
          <w:p w14:paraId="5718AD59" w14:textId="77777777" w:rsidR="00A34225" w:rsidRPr="00D35E66" w:rsidRDefault="00A34225" w:rsidP="00DA74AC">
            <w:pPr>
              <w:pStyle w:val="ListParagraph"/>
              <w:spacing w:after="0" w:line="240" w:lineRule="auto"/>
              <w:ind w:left="309"/>
              <w:jc w:val="both"/>
              <w:rPr>
                <w:rFonts w:ascii="Times New Roman" w:hAnsi="Times New Roman" w:cs="Times New Roman"/>
                <w:i/>
              </w:rPr>
            </w:pPr>
            <w:r w:rsidRPr="00D35E66">
              <w:rPr>
                <w:rFonts w:ascii="Times New Roman" w:hAnsi="Times New Roman" w:cs="Times New Roman"/>
                <w:i/>
                <w:color w:val="000000"/>
              </w:rPr>
              <w:t>Hemophilus influenzae</w:t>
            </w:r>
          </w:p>
        </w:tc>
        <w:tc>
          <w:tcPr>
            <w:tcW w:w="709" w:type="dxa"/>
            <w:tcBorders>
              <w:top w:val="nil"/>
              <w:left w:val="nil"/>
              <w:bottom w:val="nil"/>
              <w:right w:val="nil"/>
            </w:tcBorders>
            <w:vAlign w:val="bottom"/>
          </w:tcPr>
          <w:p w14:paraId="68BF10BD"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nil"/>
              <w:left w:val="nil"/>
              <w:bottom w:val="nil"/>
              <w:right w:val="nil"/>
            </w:tcBorders>
            <w:vAlign w:val="center"/>
            <w:hideMark/>
          </w:tcPr>
          <w:p w14:paraId="04F20199"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3</w:t>
            </w:r>
          </w:p>
        </w:tc>
        <w:tc>
          <w:tcPr>
            <w:tcW w:w="709" w:type="dxa"/>
            <w:tcBorders>
              <w:top w:val="nil"/>
              <w:left w:val="nil"/>
              <w:bottom w:val="nil"/>
              <w:right w:val="nil"/>
            </w:tcBorders>
            <w:hideMark/>
          </w:tcPr>
          <w:p w14:paraId="53340360"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5,1</w:t>
            </w:r>
          </w:p>
        </w:tc>
      </w:tr>
      <w:tr w:rsidR="00A34225" w:rsidRPr="00D35E66" w14:paraId="0D25BC92" w14:textId="77777777" w:rsidTr="00DA74AC">
        <w:tc>
          <w:tcPr>
            <w:tcW w:w="4536" w:type="dxa"/>
            <w:tcBorders>
              <w:top w:val="nil"/>
              <w:left w:val="nil"/>
              <w:bottom w:val="nil"/>
              <w:right w:val="nil"/>
            </w:tcBorders>
            <w:vAlign w:val="bottom"/>
            <w:hideMark/>
          </w:tcPr>
          <w:p w14:paraId="79F077E3" w14:textId="77777777" w:rsidR="00A34225" w:rsidRPr="00D35E66" w:rsidRDefault="00A34225" w:rsidP="00DA74AC">
            <w:pPr>
              <w:pStyle w:val="ListParagraph"/>
              <w:spacing w:after="0" w:line="240" w:lineRule="auto"/>
              <w:ind w:left="309"/>
              <w:jc w:val="both"/>
              <w:rPr>
                <w:rFonts w:ascii="Times New Roman" w:hAnsi="Times New Roman" w:cs="Times New Roman"/>
                <w:i/>
              </w:rPr>
            </w:pPr>
            <w:r w:rsidRPr="00D35E66">
              <w:rPr>
                <w:rFonts w:ascii="Times New Roman" w:hAnsi="Times New Roman" w:cs="Times New Roman"/>
                <w:i/>
                <w:color w:val="000000"/>
              </w:rPr>
              <w:lastRenderedPageBreak/>
              <w:t>Klebsiella oxytoca</w:t>
            </w:r>
          </w:p>
        </w:tc>
        <w:tc>
          <w:tcPr>
            <w:tcW w:w="709" w:type="dxa"/>
            <w:tcBorders>
              <w:top w:val="nil"/>
              <w:left w:val="nil"/>
              <w:bottom w:val="nil"/>
              <w:right w:val="nil"/>
            </w:tcBorders>
            <w:vAlign w:val="bottom"/>
          </w:tcPr>
          <w:p w14:paraId="1934284B"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nil"/>
              <w:left w:val="nil"/>
              <w:bottom w:val="nil"/>
              <w:right w:val="nil"/>
            </w:tcBorders>
            <w:vAlign w:val="center"/>
            <w:hideMark/>
          </w:tcPr>
          <w:p w14:paraId="00FA7D39"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2</w:t>
            </w:r>
          </w:p>
        </w:tc>
        <w:tc>
          <w:tcPr>
            <w:tcW w:w="709" w:type="dxa"/>
            <w:tcBorders>
              <w:top w:val="nil"/>
              <w:left w:val="nil"/>
              <w:bottom w:val="nil"/>
              <w:right w:val="nil"/>
            </w:tcBorders>
            <w:hideMark/>
          </w:tcPr>
          <w:p w14:paraId="24A29B1F"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3,4</w:t>
            </w:r>
          </w:p>
        </w:tc>
      </w:tr>
      <w:tr w:rsidR="00A34225" w:rsidRPr="00D35E66" w14:paraId="6DC474F1" w14:textId="77777777" w:rsidTr="00DA74AC">
        <w:tc>
          <w:tcPr>
            <w:tcW w:w="4536" w:type="dxa"/>
            <w:tcBorders>
              <w:top w:val="nil"/>
              <w:left w:val="nil"/>
              <w:bottom w:val="nil"/>
              <w:right w:val="nil"/>
            </w:tcBorders>
            <w:vAlign w:val="bottom"/>
            <w:hideMark/>
          </w:tcPr>
          <w:p w14:paraId="7BBFF6E1" w14:textId="77777777" w:rsidR="00A34225" w:rsidRPr="00D35E66" w:rsidRDefault="00A34225" w:rsidP="00DA74AC">
            <w:pPr>
              <w:pStyle w:val="ListParagraph"/>
              <w:spacing w:after="0" w:line="240" w:lineRule="auto"/>
              <w:ind w:left="309"/>
              <w:jc w:val="both"/>
              <w:rPr>
                <w:rFonts w:ascii="Times New Roman" w:hAnsi="Times New Roman" w:cs="Times New Roman"/>
                <w:i/>
              </w:rPr>
            </w:pPr>
            <w:r w:rsidRPr="00D35E66">
              <w:rPr>
                <w:rFonts w:ascii="Times New Roman" w:hAnsi="Times New Roman" w:cs="Times New Roman"/>
                <w:i/>
                <w:color w:val="000000"/>
              </w:rPr>
              <w:t>Citrobacter freundii</w:t>
            </w:r>
          </w:p>
        </w:tc>
        <w:tc>
          <w:tcPr>
            <w:tcW w:w="709" w:type="dxa"/>
            <w:tcBorders>
              <w:top w:val="nil"/>
              <w:left w:val="nil"/>
              <w:bottom w:val="nil"/>
              <w:right w:val="nil"/>
            </w:tcBorders>
            <w:vAlign w:val="bottom"/>
          </w:tcPr>
          <w:p w14:paraId="0E6F0306"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nil"/>
              <w:left w:val="nil"/>
              <w:bottom w:val="nil"/>
              <w:right w:val="nil"/>
            </w:tcBorders>
            <w:vAlign w:val="center"/>
            <w:hideMark/>
          </w:tcPr>
          <w:p w14:paraId="53D3C0FD"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1</w:t>
            </w:r>
          </w:p>
        </w:tc>
        <w:tc>
          <w:tcPr>
            <w:tcW w:w="709" w:type="dxa"/>
            <w:tcBorders>
              <w:top w:val="nil"/>
              <w:left w:val="nil"/>
              <w:bottom w:val="nil"/>
              <w:right w:val="nil"/>
            </w:tcBorders>
            <w:hideMark/>
          </w:tcPr>
          <w:p w14:paraId="7D9F9282"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1,7</w:t>
            </w:r>
          </w:p>
        </w:tc>
      </w:tr>
      <w:tr w:rsidR="00A34225" w:rsidRPr="00D35E66" w14:paraId="3F17EBFF" w14:textId="77777777" w:rsidTr="00DA74AC">
        <w:tc>
          <w:tcPr>
            <w:tcW w:w="4536" w:type="dxa"/>
            <w:tcBorders>
              <w:top w:val="nil"/>
              <w:left w:val="nil"/>
              <w:bottom w:val="nil"/>
              <w:right w:val="nil"/>
            </w:tcBorders>
            <w:vAlign w:val="bottom"/>
            <w:hideMark/>
          </w:tcPr>
          <w:p w14:paraId="24C73B29" w14:textId="77777777" w:rsidR="00A34225" w:rsidRPr="00D35E66" w:rsidRDefault="00A34225" w:rsidP="00DA74AC">
            <w:pPr>
              <w:pStyle w:val="ListParagraph"/>
              <w:spacing w:after="0" w:line="240" w:lineRule="auto"/>
              <w:ind w:left="309"/>
              <w:jc w:val="both"/>
              <w:rPr>
                <w:rFonts w:ascii="Times New Roman" w:hAnsi="Times New Roman" w:cs="Times New Roman"/>
                <w:i/>
              </w:rPr>
            </w:pPr>
            <w:r w:rsidRPr="00D35E66">
              <w:rPr>
                <w:rFonts w:ascii="Times New Roman" w:hAnsi="Times New Roman" w:cs="Times New Roman"/>
                <w:i/>
                <w:color w:val="000000"/>
              </w:rPr>
              <w:t>Enterobacter aerogenes</w:t>
            </w:r>
          </w:p>
        </w:tc>
        <w:tc>
          <w:tcPr>
            <w:tcW w:w="709" w:type="dxa"/>
            <w:tcBorders>
              <w:top w:val="nil"/>
              <w:left w:val="nil"/>
              <w:bottom w:val="nil"/>
              <w:right w:val="nil"/>
            </w:tcBorders>
            <w:vAlign w:val="bottom"/>
          </w:tcPr>
          <w:p w14:paraId="0A35663F"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nil"/>
              <w:left w:val="nil"/>
              <w:bottom w:val="nil"/>
              <w:right w:val="nil"/>
            </w:tcBorders>
            <w:vAlign w:val="center"/>
            <w:hideMark/>
          </w:tcPr>
          <w:p w14:paraId="3DA023E7"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1</w:t>
            </w:r>
          </w:p>
        </w:tc>
        <w:tc>
          <w:tcPr>
            <w:tcW w:w="709" w:type="dxa"/>
            <w:tcBorders>
              <w:top w:val="nil"/>
              <w:left w:val="nil"/>
              <w:bottom w:val="nil"/>
              <w:right w:val="nil"/>
            </w:tcBorders>
            <w:hideMark/>
          </w:tcPr>
          <w:p w14:paraId="438E246B"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1,7</w:t>
            </w:r>
          </w:p>
        </w:tc>
      </w:tr>
      <w:tr w:rsidR="00A34225" w:rsidRPr="00D35E66" w14:paraId="544DA3E0" w14:textId="77777777" w:rsidTr="00DA74AC">
        <w:tc>
          <w:tcPr>
            <w:tcW w:w="4536" w:type="dxa"/>
            <w:tcBorders>
              <w:top w:val="nil"/>
              <w:left w:val="nil"/>
              <w:bottom w:val="nil"/>
              <w:right w:val="nil"/>
            </w:tcBorders>
            <w:vAlign w:val="bottom"/>
            <w:hideMark/>
          </w:tcPr>
          <w:p w14:paraId="13C56849" w14:textId="77777777" w:rsidR="00A34225" w:rsidRPr="00D35E66" w:rsidRDefault="00A34225" w:rsidP="00DA74AC">
            <w:pPr>
              <w:pStyle w:val="ListParagraph"/>
              <w:spacing w:after="0" w:line="240" w:lineRule="auto"/>
              <w:ind w:left="309"/>
              <w:jc w:val="both"/>
              <w:rPr>
                <w:rFonts w:ascii="Times New Roman" w:hAnsi="Times New Roman" w:cs="Times New Roman"/>
                <w:i/>
              </w:rPr>
            </w:pPr>
            <w:r w:rsidRPr="00D35E66">
              <w:rPr>
                <w:rFonts w:ascii="Times New Roman" w:hAnsi="Times New Roman" w:cs="Times New Roman"/>
                <w:i/>
                <w:color w:val="000000"/>
              </w:rPr>
              <w:t>Enterobacter cloacoe</w:t>
            </w:r>
          </w:p>
        </w:tc>
        <w:tc>
          <w:tcPr>
            <w:tcW w:w="709" w:type="dxa"/>
            <w:tcBorders>
              <w:top w:val="nil"/>
              <w:left w:val="nil"/>
              <w:bottom w:val="nil"/>
              <w:right w:val="nil"/>
            </w:tcBorders>
            <w:vAlign w:val="bottom"/>
          </w:tcPr>
          <w:p w14:paraId="173E7969"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nil"/>
              <w:left w:val="nil"/>
              <w:bottom w:val="nil"/>
              <w:right w:val="nil"/>
            </w:tcBorders>
            <w:vAlign w:val="center"/>
            <w:hideMark/>
          </w:tcPr>
          <w:p w14:paraId="52C47029"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1</w:t>
            </w:r>
          </w:p>
        </w:tc>
        <w:tc>
          <w:tcPr>
            <w:tcW w:w="709" w:type="dxa"/>
            <w:tcBorders>
              <w:top w:val="nil"/>
              <w:left w:val="nil"/>
              <w:bottom w:val="nil"/>
              <w:right w:val="nil"/>
            </w:tcBorders>
            <w:hideMark/>
          </w:tcPr>
          <w:p w14:paraId="550FA584"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1,7</w:t>
            </w:r>
          </w:p>
        </w:tc>
      </w:tr>
      <w:tr w:rsidR="00A34225" w:rsidRPr="00D35E66" w14:paraId="2D07859C" w14:textId="77777777" w:rsidTr="00DA74AC">
        <w:tc>
          <w:tcPr>
            <w:tcW w:w="4536" w:type="dxa"/>
            <w:tcBorders>
              <w:top w:val="nil"/>
              <w:left w:val="nil"/>
              <w:bottom w:val="nil"/>
              <w:right w:val="nil"/>
            </w:tcBorders>
            <w:vAlign w:val="bottom"/>
            <w:hideMark/>
          </w:tcPr>
          <w:p w14:paraId="4194A9EF" w14:textId="77777777" w:rsidR="00A34225" w:rsidRPr="00D35E66" w:rsidRDefault="00A34225" w:rsidP="00DA74AC">
            <w:pPr>
              <w:pStyle w:val="ListParagraph"/>
              <w:spacing w:after="0" w:line="240" w:lineRule="auto"/>
              <w:ind w:left="309"/>
              <w:jc w:val="both"/>
              <w:rPr>
                <w:rFonts w:ascii="Times New Roman" w:hAnsi="Times New Roman" w:cs="Times New Roman"/>
                <w:i/>
              </w:rPr>
            </w:pPr>
            <w:r w:rsidRPr="00D35E66">
              <w:rPr>
                <w:rFonts w:ascii="Times New Roman" w:hAnsi="Times New Roman" w:cs="Times New Roman"/>
                <w:i/>
                <w:color w:val="000000"/>
              </w:rPr>
              <w:t>Pseudomonas aeroginosa</w:t>
            </w:r>
          </w:p>
        </w:tc>
        <w:tc>
          <w:tcPr>
            <w:tcW w:w="709" w:type="dxa"/>
            <w:tcBorders>
              <w:top w:val="nil"/>
              <w:left w:val="nil"/>
              <w:bottom w:val="nil"/>
              <w:right w:val="nil"/>
            </w:tcBorders>
            <w:vAlign w:val="bottom"/>
          </w:tcPr>
          <w:p w14:paraId="7F47FC54"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nil"/>
              <w:left w:val="nil"/>
              <w:bottom w:val="nil"/>
              <w:right w:val="nil"/>
            </w:tcBorders>
            <w:vAlign w:val="center"/>
            <w:hideMark/>
          </w:tcPr>
          <w:p w14:paraId="07A81FCD"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1</w:t>
            </w:r>
          </w:p>
        </w:tc>
        <w:tc>
          <w:tcPr>
            <w:tcW w:w="709" w:type="dxa"/>
            <w:tcBorders>
              <w:top w:val="nil"/>
              <w:left w:val="nil"/>
              <w:bottom w:val="nil"/>
              <w:right w:val="nil"/>
            </w:tcBorders>
            <w:hideMark/>
          </w:tcPr>
          <w:p w14:paraId="57D8A38F"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1,7</w:t>
            </w:r>
          </w:p>
        </w:tc>
      </w:tr>
      <w:tr w:rsidR="00A34225" w:rsidRPr="00D35E66" w14:paraId="4211565F" w14:textId="77777777" w:rsidTr="00DA74AC">
        <w:tc>
          <w:tcPr>
            <w:tcW w:w="4536" w:type="dxa"/>
            <w:tcBorders>
              <w:top w:val="nil"/>
              <w:left w:val="nil"/>
              <w:bottom w:val="nil"/>
              <w:right w:val="nil"/>
            </w:tcBorders>
            <w:vAlign w:val="bottom"/>
          </w:tcPr>
          <w:p w14:paraId="149D714A" w14:textId="77777777" w:rsidR="00A34225" w:rsidRPr="00D35E66" w:rsidRDefault="00A34225" w:rsidP="00DA74AC">
            <w:pPr>
              <w:pStyle w:val="ListParagraph"/>
              <w:spacing w:after="0" w:line="240" w:lineRule="auto"/>
              <w:ind w:left="309"/>
              <w:jc w:val="both"/>
              <w:rPr>
                <w:rFonts w:ascii="Times New Roman" w:hAnsi="Times New Roman" w:cs="Times New Roman"/>
                <w:i/>
                <w:color w:val="000000"/>
              </w:rPr>
            </w:pPr>
          </w:p>
        </w:tc>
        <w:tc>
          <w:tcPr>
            <w:tcW w:w="709" w:type="dxa"/>
            <w:tcBorders>
              <w:top w:val="nil"/>
              <w:left w:val="nil"/>
              <w:bottom w:val="nil"/>
              <w:right w:val="nil"/>
            </w:tcBorders>
            <w:vAlign w:val="bottom"/>
            <w:hideMark/>
          </w:tcPr>
          <w:p w14:paraId="770FDF86" w14:textId="77777777" w:rsidR="00A34225" w:rsidRPr="00D35E66" w:rsidRDefault="00A34225" w:rsidP="00DA74AC">
            <w:pPr>
              <w:pStyle w:val="ListParagraph"/>
              <w:spacing w:after="0" w:line="240" w:lineRule="auto"/>
              <w:ind w:left="0"/>
              <w:jc w:val="both"/>
              <w:rPr>
                <w:rFonts w:ascii="Times New Roman" w:hAnsi="Times New Roman" w:cs="Times New Roman"/>
              </w:rPr>
            </w:pPr>
            <w:r w:rsidRPr="00D35E66">
              <w:rPr>
                <w:rFonts w:ascii="Times New Roman" w:hAnsi="Times New Roman" w:cs="Times New Roman"/>
              </w:rPr>
              <w:t>Total</w:t>
            </w:r>
          </w:p>
        </w:tc>
        <w:tc>
          <w:tcPr>
            <w:tcW w:w="1837" w:type="dxa"/>
            <w:tcBorders>
              <w:top w:val="nil"/>
              <w:left w:val="nil"/>
              <w:bottom w:val="nil"/>
              <w:right w:val="nil"/>
            </w:tcBorders>
            <w:vAlign w:val="center"/>
            <w:hideMark/>
          </w:tcPr>
          <w:p w14:paraId="36FF0800" w14:textId="77777777" w:rsidR="00A34225" w:rsidRPr="00D35E66" w:rsidRDefault="00A34225" w:rsidP="00DA74AC">
            <w:pPr>
              <w:pStyle w:val="ListParagraph"/>
              <w:spacing w:after="0" w:line="240" w:lineRule="auto"/>
              <w:ind w:left="0"/>
              <w:jc w:val="center"/>
              <w:rPr>
                <w:rFonts w:ascii="Times New Roman" w:hAnsi="Times New Roman" w:cs="Times New Roman"/>
                <w:color w:val="000000"/>
              </w:rPr>
            </w:pPr>
            <w:r w:rsidRPr="00D35E66">
              <w:rPr>
                <w:rFonts w:ascii="Times New Roman" w:hAnsi="Times New Roman" w:cs="Times New Roman"/>
                <w:color w:val="000000"/>
              </w:rPr>
              <w:t>30</w:t>
            </w:r>
          </w:p>
        </w:tc>
        <w:tc>
          <w:tcPr>
            <w:tcW w:w="709" w:type="dxa"/>
            <w:tcBorders>
              <w:top w:val="nil"/>
              <w:left w:val="nil"/>
              <w:bottom w:val="nil"/>
              <w:right w:val="nil"/>
            </w:tcBorders>
            <w:hideMark/>
          </w:tcPr>
          <w:p w14:paraId="70E2A643"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50,8</w:t>
            </w:r>
          </w:p>
        </w:tc>
      </w:tr>
      <w:tr w:rsidR="00A34225" w:rsidRPr="00D35E66" w14:paraId="17971C24" w14:textId="77777777" w:rsidTr="00DA74AC">
        <w:tc>
          <w:tcPr>
            <w:tcW w:w="4536" w:type="dxa"/>
            <w:tcBorders>
              <w:top w:val="nil"/>
              <w:left w:val="nil"/>
              <w:bottom w:val="nil"/>
              <w:right w:val="nil"/>
            </w:tcBorders>
            <w:vAlign w:val="bottom"/>
            <w:hideMark/>
          </w:tcPr>
          <w:p w14:paraId="2E2B4212" w14:textId="77777777" w:rsidR="00A34225" w:rsidRPr="00D35E66" w:rsidRDefault="00A34225" w:rsidP="00DA74AC">
            <w:pPr>
              <w:pStyle w:val="ListParagraph"/>
              <w:spacing w:after="0" w:line="240" w:lineRule="auto"/>
              <w:ind w:left="0"/>
              <w:jc w:val="both"/>
              <w:rPr>
                <w:rFonts w:ascii="Times New Roman" w:hAnsi="Times New Roman" w:cs="Times New Roman"/>
                <w:color w:val="000000"/>
              </w:rPr>
            </w:pPr>
            <w:r w:rsidRPr="00D35E66">
              <w:rPr>
                <w:rFonts w:ascii="Times New Roman" w:hAnsi="Times New Roman" w:cs="Times New Roman"/>
                <w:color w:val="000000"/>
              </w:rPr>
              <w:t>Gram positif</w:t>
            </w:r>
          </w:p>
        </w:tc>
        <w:tc>
          <w:tcPr>
            <w:tcW w:w="709" w:type="dxa"/>
            <w:tcBorders>
              <w:top w:val="nil"/>
              <w:left w:val="nil"/>
              <w:bottom w:val="nil"/>
              <w:right w:val="nil"/>
            </w:tcBorders>
            <w:vAlign w:val="bottom"/>
          </w:tcPr>
          <w:p w14:paraId="4C9271EC" w14:textId="77777777" w:rsidR="00A34225" w:rsidRPr="00D35E66" w:rsidRDefault="00A34225" w:rsidP="00DA74AC">
            <w:pPr>
              <w:pStyle w:val="ListParagraph"/>
              <w:spacing w:after="0" w:line="240" w:lineRule="auto"/>
              <w:ind w:left="0"/>
              <w:jc w:val="both"/>
              <w:rPr>
                <w:rFonts w:ascii="Times New Roman" w:hAnsi="Times New Roman" w:cs="Times New Roman"/>
                <w:color w:val="000000"/>
              </w:rPr>
            </w:pPr>
          </w:p>
        </w:tc>
        <w:tc>
          <w:tcPr>
            <w:tcW w:w="1837" w:type="dxa"/>
            <w:tcBorders>
              <w:top w:val="nil"/>
              <w:left w:val="nil"/>
              <w:bottom w:val="nil"/>
              <w:right w:val="nil"/>
            </w:tcBorders>
            <w:vAlign w:val="center"/>
          </w:tcPr>
          <w:p w14:paraId="29294C38" w14:textId="77777777" w:rsidR="00A34225" w:rsidRPr="00D35E66" w:rsidRDefault="00A34225" w:rsidP="00DA74AC">
            <w:pPr>
              <w:pStyle w:val="ListParagraph"/>
              <w:spacing w:after="0" w:line="240" w:lineRule="auto"/>
              <w:ind w:left="0"/>
              <w:jc w:val="center"/>
              <w:rPr>
                <w:rFonts w:ascii="Times New Roman" w:hAnsi="Times New Roman" w:cs="Times New Roman"/>
                <w:color w:val="000000"/>
              </w:rPr>
            </w:pPr>
          </w:p>
        </w:tc>
        <w:tc>
          <w:tcPr>
            <w:tcW w:w="709" w:type="dxa"/>
            <w:tcBorders>
              <w:top w:val="nil"/>
              <w:left w:val="nil"/>
              <w:bottom w:val="nil"/>
              <w:right w:val="nil"/>
            </w:tcBorders>
            <w:vAlign w:val="center"/>
          </w:tcPr>
          <w:p w14:paraId="305DBFE2" w14:textId="77777777" w:rsidR="00A34225" w:rsidRPr="00D35E66" w:rsidRDefault="00A34225" w:rsidP="00DA74AC">
            <w:pPr>
              <w:pStyle w:val="ListParagraph"/>
              <w:spacing w:after="0" w:line="240" w:lineRule="auto"/>
              <w:ind w:left="0"/>
              <w:jc w:val="center"/>
              <w:rPr>
                <w:rFonts w:ascii="Times New Roman" w:hAnsi="Times New Roman" w:cs="Times New Roman"/>
                <w:color w:val="000000"/>
              </w:rPr>
            </w:pPr>
          </w:p>
        </w:tc>
      </w:tr>
      <w:tr w:rsidR="00A34225" w:rsidRPr="00D35E66" w14:paraId="333B109F" w14:textId="77777777" w:rsidTr="00DA74AC">
        <w:tc>
          <w:tcPr>
            <w:tcW w:w="4536" w:type="dxa"/>
            <w:tcBorders>
              <w:top w:val="nil"/>
              <w:left w:val="nil"/>
              <w:bottom w:val="nil"/>
              <w:right w:val="nil"/>
            </w:tcBorders>
            <w:vAlign w:val="bottom"/>
            <w:hideMark/>
          </w:tcPr>
          <w:p w14:paraId="1B1F5F28" w14:textId="77777777" w:rsidR="00A34225" w:rsidRPr="00D35E66" w:rsidRDefault="00A34225" w:rsidP="00DA74AC">
            <w:pPr>
              <w:pStyle w:val="ListParagraph"/>
              <w:spacing w:after="0" w:line="240" w:lineRule="auto"/>
              <w:ind w:left="309"/>
              <w:jc w:val="both"/>
              <w:rPr>
                <w:rFonts w:ascii="Times New Roman" w:hAnsi="Times New Roman" w:cs="Times New Roman"/>
                <w:i/>
              </w:rPr>
            </w:pPr>
            <w:r w:rsidRPr="00D35E66">
              <w:rPr>
                <w:rFonts w:ascii="Times New Roman" w:hAnsi="Times New Roman" w:cs="Times New Roman"/>
                <w:i/>
                <w:color w:val="000000"/>
              </w:rPr>
              <w:t>Streptococcus ρneumoniae</w:t>
            </w:r>
          </w:p>
        </w:tc>
        <w:tc>
          <w:tcPr>
            <w:tcW w:w="709" w:type="dxa"/>
            <w:tcBorders>
              <w:top w:val="nil"/>
              <w:left w:val="nil"/>
              <w:bottom w:val="nil"/>
              <w:right w:val="nil"/>
            </w:tcBorders>
            <w:vAlign w:val="bottom"/>
          </w:tcPr>
          <w:p w14:paraId="1D923F59"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nil"/>
              <w:left w:val="nil"/>
              <w:bottom w:val="nil"/>
              <w:right w:val="nil"/>
            </w:tcBorders>
            <w:vAlign w:val="center"/>
            <w:hideMark/>
          </w:tcPr>
          <w:p w14:paraId="0E950D8E"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5</w:t>
            </w:r>
          </w:p>
        </w:tc>
        <w:tc>
          <w:tcPr>
            <w:tcW w:w="709" w:type="dxa"/>
            <w:tcBorders>
              <w:top w:val="nil"/>
              <w:left w:val="nil"/>
              <w:bottom w:val="nil"/>
              <w:right w:val="nil"/>
            </w:tcBorders>
            <w:vAlign w:val="bottom"/>
            <w:hideMark/>
          </w:tcPr>
          <w:p w14:paraId="0735BA5C"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8,5</w:t>
            </w:r>
          </w:p>
        </w:tc>
      </w:tr>
      <w:tr w:rsidR="00A34225" w:rsidRPr="00D35E66" w14:paraId="317DAAC9" w14:textId="77777777" w:rsidTr="00DA74AC">
        <w:tc>
          <w:tcPr>
            <w:tcW w:w="4536" w:type="dxa"/>
            <w:tcBorders>
              <w:top w:val="nil"/>
              <w:left w:val="nil"/>
              <w:bottom w:val="nil"/>
              <w:right w:val="nil"/>
            </w:tcBorders>
            <w:vAlign w:val="bottom"/>
            <w:hideMark/>
          </w:tcPr>
          <w:p w14:paraId="7BF97C40" w14:textId="77777777" w:rsidR="00A34225" w:rsidRPr="00D35E66" w:rsidRDefault="00A34225" w:rsidP="00DA74AC">
            <w:pPr>
              <w:pStyle w:val="ListParagraph"/>
              <w:spacing w:after="0" w:line="240" w:lineRule="auto"/>
              <w:ind w:left="309"/>
              <w:jc w:val="both"/>
              <w:rPr>
                <w:rFonts w:ascii="Times New Roman" w:hAnsi="Times New Roman" w:cs="Times New Roman"/>
                <w:i/>
              </w:rPr>
            </w:pPr>
            <w:bookmarkStart w:id="8" w:name="_Hlk20163661"/>
            <w:r w:rsidRPr="00D35E66">
              <w:rPr>
                <w:rFonts w:ascii="Times New Roman" w:hAnsi="Times New Roman" w:cs="Times New Roman"/>
                <w:i/>
                <w:color w:val="000000"/>
              </w:rPr>
              <w:t>Staphylococcus aureus</w:t>
            </w:r>
          </w:p>
        </w:tc>
        <w:tc>
          <w:tcPr>
            <w:tcW w:w="709" w:type="dxa"/>
            <w:tcBorders>
              <w:top w:val="nil"/>
              <w:left w:val="nil"/>
              <w:bottom w:val="nil"/>
              <w:right w:val="nil"/>
            </w:tcBorders>
            <w:vAlign w:val="bottom"/>
          </w:tcPr>
          <w:p w14:paraId="2D2090F2"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nil"/>
              <w:left w:val="nil"/>
              <w:bottom w:val="nil"/>
              <w:right w:val="nil"/>
            </w:tcBorders>
            <w:vAlign w:val="center"/>
            <w:hideMark/>
          </w:tcPr>
          <w:p w14:paraId="55656AC1"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4</w:t>
            </w:r>
          </w:p>
        </w:tc>
        <w:tc>
          <w:tcPr>
            <w:tcW w:w="709" w:type="dxa"/>
            <w:tcBorders>
              <w:top w:val="nil"/>
              <w:left w:val="nil"/>
              <w:bottom w:val="nil"/>
              <w:right w:val="nil"/>
            </w:tcBorders>
            <w:vAlign w:val="bottom"/>
            <w:hideMark/>
          </w:tcPr>
          <w:p w14:paraId="2EBD5BF6"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6,8</w:t>
            </w:r>
          </w:p>
        </w:tc>
        <w:bookmarkEnd w:id="8"/>
      </w:tr>
      <w:tr w:rsidR="00A34225" w:rsidRPr="00D35E66" w14:paraId="372DB851" w14:textId="77777777" w:rsidTr="00DA74AC">
        <w:tc>
          <w:tcPr>
            <w:tcW w:w="4536" w:type="dxa"/>
            <w:tcBorders>
              <w:top w:val="nil"/>
              <w:left w:val="nil"/>
              <w:bottom w:val="nil"/>
              <w:right w:val="nil"/>
            </w:tcBorders>
            <w:vAlign w:val="bottom"/>
            <w:hideMark/>
          </w:tcPr>
          <w:p w14:paraId="3D0DA042" w14:textId="77777777" w:rsidR="00A34225" w:rsidRPr="00D35E66" w:rsidRDefault="00A34225" w:rsidP="00DA74AC">
            <w:pPr>
              <w:pStyle w:val="ListParagraph"/>
              <w:spacing w:after="0" w:line="240" w:lineRule="auto"/>
              <w:ind w:left="309"/>
              <w:jc w:val="both"/>
              <w:rPr>
                <w:rFonts w:ascii="Times New Roman" w:hAnsi="Times New Roman" w:cs="Times New Roman"/>
                <w:i/>
              </w:rPr>
            </w:pPr>
            <w:r w:rsidRPr="00D35E66">
              <w:rPr>
                <w:rFonts w:ascii="Times New Roman" w:hAnsi="Times New Roman" w:cs="Times New Roman"/>
                <w:i/>
                <w:color w:val="000000"/>
              </w:rPr>
              <w:t xml:space="preserve">Strep β hemolytic </w:t>
            </w:r>
            <w:proofErr w:type="gramStart"/>
            <w:r w:rsidRPr="00D35E66">
              <w:rPr>
                <w:rFonts w:ascii="Times New Roman" w:hAnsi="Times New Roman" w:cs="Times New Roman"/>
                <w:i/>
                <w:color w:val="000000"/>
              </w:rPr>
              <w:t>non group</w:t>
            </w:r>
            <w:proofErr w:type="gramEnd"/>
            <w:r w:rsidRPr="00D35E66">
              <w:rPr>
                <w:rFonts w:ascii="Times New Roman" w:hAnsi="Times New Roman" w:cs="Times New Roman"/>
                <w:i/>
                <w:color w:val="000000"/>
              </w:rPr>
              <w:t xml:space="preserve"> A non group B</w:t>
            </w:r>
          </w:p>
        </w:tc>
        <w:tc>
          <w:tcPr>
            <w:tcW w:w="709" w:type="dxa"/>
            <w:tcBorders>
              <w:top w:val="nil"/>
              <w:left w:val="nil"/>
              <w:bottom w:val="nil"/>
              <w:right w:val="nil"/>
            </w:tcBorders>
            <w:vAlign w:val="bottom"/>
          </w:tcPr>
          <w:p w14:paraId="4EC9E981" w14:textId="77777777" w:rsidR="00A34225" w:rsidRPr="00D35E66" w:rsidRDefault="00A34225" w:rsidP="00DA74AC">
            <w:pPr>
              <w:pStyle w:val="ListParagraph"/>
              <w:spacing w:after="0" w:line="240" w:lineRule="auto"/>
              <w:ind w:left="0"/>
              <w:jc w:val="both"/>
              <w:rPr>
                <w:rFonts w:ascii="Times New Roman" w:hAnsi="Times New Roman" w:cs="Times New Roman"/>
              </w:rPr>
            </w:pPr>
          </w:p>
        </w:tc>
        <w:tc>
          <w:tcPr>
            <w:tcW w:w="1837" w:type="dxa"/>
            <w:tcBorders>
              <w:top w:val="nil"/>
              <w:left w:val="nil"/>
              <w:bottom w:val="nil"/>
              <w:right w:val="nil"/>
            </w:tcBorders>
            <w:vAlign w:val="center"/>
            <w:hideMark/>
          </w:tcPr>
          <w:p w14:paraId="330FD86D"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7</w:t>
            </w:r>
          </w:p>
        </w:tc>
        <w:tc>
          <w:tcPr>
            <w:tcW w:w="709" w:type="dxa"/>
            <w:tcBorders>
              <w:top w:val="nil"/>
              <w:left w:val="nil"/>
              <w:bottom w:val="nil"/>
              <w:right w:val="nil"/>
            </w:tcBorders>
            <w:vAlign w:val="bottom"/>
            <w:hideMark/>
          </w:tcPr>
          <w:p w14:paraId="01EE89EB"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color w:val="000000"/>
              </w:rPr>
              <w:t>11,9</w:t>
            </w:r>
          </w:p>
        </w:tc>
      </w:tr>
      <w:tr w:rsidR="00A34225" w:rsidRPr="00D35E66" w14:paraId="763748F7" w14:textId="77777777" w:rsidTr="00DA74AC">
        <w:trPr>
          <w:trHeight w:val="80"/>
        </w:trPr>
        <w:tc>
          <w:tcPr>
            <w:tcW w:w="4536" w:type="dxa"/>
            <w:tcBorders>
              <w:top w:val="nil"/>
              <w:left w:val="nil"/>
              <w:bottom w:val="nil"/>
              <w:right w:val="nil"/>
            </w:tcBorders>
            <w:vAlign w:val="bottom"/>
            <w:hideMark/>
          </w:tcPr>
          <w:p w14:paraId="7004BAE4" w14:textId="77777777" w:rsidR="00A34225" w:rsidRPr="00D35E66" w:rsidRDefault="00A34225" w:rsidP="00DA74AC">
            <w:pPr>
              <w:pStyle w:val="ListParagraph"/>
              <w:spacing w:after="0" w:line="240" w:lineRule="auto"/>
              <w:ind w:left="0"/>
              <w:jc w:val="both"/>
              <w:rPr>
                <w:rFonts w:ascii="Times New Roman" w:hAnsi="Times New Roman" w:cs="Times New Roman"/>
                <w:i/>
              </w:rPr>
            </w:pPr>
            <w:r w:rsidRPr="00D35E66">
              <w:rPr>
                <w:rFonts w:ascii="Times New Roman" w:hAnsi="Times New Roman" w:cs="Times New Roman"/>
                <w:i/>
                <w:color w:val="000000"/>
              </w:rPr>
              <w:t> </w:t>
            </w:r>
          </w:p>
        </w:tc>
        <w:tc>
          <w:tcPr>
            <w:tcW w:w="709" w:type="dxa"/>
            <w:tcBorders>
              <w:top w:val="nil"/>
              <w:left w:val="nil"/>
              <w:bottom w:val="nil"/>
              <w:right w:val="nil"/>
            </w:tcBorders>
            <w:vAlign w:val="bottom"/>
            <w:hideMark/>
          </w:tcPr>
          <w:p w14:paraId="0082A7E8" w14:textId="77777777" w:rsidR="00A34225" w:rsidRPr="00D35E66" w:rsidRDefault="00A34225" w:rsidP="00DA74AC">
            <w:pPr>
              <w:pStyle w:val="ListParagraph"/>
              <w:spacing w:after="0" w:line="240" w:lineRule="auto"/>
              <w:ind w:left="0"/>
              <w:jc w:val="both"/>
              <w:rPr>
                <w:rFonts w:ascii="Times New Roman" w:hAnsi="Times New Roman" w:cs="Times New Roman"/>
              </w:rPr>
            </w:pPr>
            <w:r w:rsidRPr="00D35E66">
              <w:rPr>
                <w:rFonts w:ascii="Times New Roman" w:hAnsi="Times New Roman" w:cs="Times New Roman"/>
                <w:color w:val="000000"/>
              </w:rPr>
              <w:t xml:space="preserve">Total   </w:t>
            </w:r>
          </w:p>
        </w:tc>
        <w:tc>
          <w:tcPr>
            <w:tcW w:w="1837" w:type="dxa"/>
            <w:tcBorders>
              <w:top w:val="nil"/>
              <w:left w:val="nil"/>
              <w:bottom w:val="nil"/>
              <w:right w:val="nil"/>
            </w:tcBorders>
            <w:vAlign w:val="center"/>
            <w:hideMark/>
          </w:tcPr>
          <w:p w14:paraId="2F701220"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16</w:t>
            </w:r>
          </w:p>
        </w:tc>
        <w:tc>
          <w:tcPr>
            <w:tcW w:w="709" w:type="dxa"/>
            <w:tcBorders>
              <w:top w:val="nil"/>
              <w:left w:val="nil"/>
              <w:bottom w:val="nil"/>
              <w:right w:val="nil"/>
            </w:tcBorders>
            <w:vAlign w:val="center"/>
            <w:hideMark/>
          </w:tcPr>
          <w:p w14:paraId="79741ADB"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27,2</w:t>
            </w:r>
          </w:p>
        </w:tc>
      </w:tr>
      <w:tr w:rsidR="00A34225" w:rsidRPr="00D35E66" w14:paraId="2AD3A1CA" w14:textId="77777777" w:rsidTr="00DA74AC">
        <w:tc>
          <w:tcPr>
            <w:tcW w:w="4536" w:type="dxa"/>
            <w:tcBorders>
              <w:top w:val="nil"/>
              <w:left w:val="nil"/>
              <w:bottom w:val="nil"/>
              <w:right w:val="nil"/>
            </w:tcBorders>
            <w:vAlign w:val="bottom"/>
            <w:hideMark/>
          </w:tcPr>
          <w:p w14:paraId="41F728A3" w14:textId="77777777" w:rsidR="00A34225" w:rsidRPr="00D35E66" w:rsidRDefault="00A34225" w:rsidP="00DA74AC">
            <w:pPr>
              <w:pStyle w:val="ListParagraph"/>
              <w:spacing w:after="0" w:line="240" w:lineRule="auto"/>
              <w:ind w:left="0"/>
              <w:jc w:val="both"/>
              <w:rPr>
                <w:rFonts w:ascii="Times New Roman" w:hAnsi="Times New Roman" w:cs="Times New Roman"/>
                <w:color w:val="000000"/>
              </w:rPr>
            </w:pPr>
            <w:r w:rsidRPr="00D35E66">
              <w:rPr>
                <w:rFonts w:ascii="Times New Roman" w:hAnsi="Times New Roman" w:cs="Times New Roman"/>
                <w:color w:val="000000"/>
              </w:rPr>
              <w:t>Flora normal</w:t>
            </w:r>
          </w:p>
        </w:tc>
        <w:tc>
          <w:tcPr>
            <w:tcW w:w="709" w:type="dxa"/>
            <w:tcBorders>
              <w:top w:val="nil"/>
              <w:left w:val="nil"/>
              <w:bottom w:val="nil"/>
              <w:right w:val="nil"/>
            </w:tcBorders>
            <w:vAlign w:val="bottom"/>
          </w:tcPr>
          <w:p w14:paraId="41DEC743" w14:textId="77777777" w:rsidR="00A34225" w:rsidRPr="00D35E66" w:rsidRDefault="00A34225" w:rsidP="00DA74AC">
            <w:pPr>
              <w:pStyle w:val="ListParagraph"/>
              <w:spacing w:after="0" w:line="240" w:lineRule="auto"/>
              <w:ind w:left="0"/>
              <w:jc w:val="both"/>
              <w:rPr>
                <w:rFonts w:ascii="Times New Roman" w:hAnsi="Times New Roman" w:cs="Times New Roman"/>
                <w:color w:val="000000"/>
              </w:rPr>
            </w:pPr>
          </w:p>
        </w:tc>
        <w:tc>
          <w:tcPr>
            <w:tcW w:w="1837" w:type="dxa"/>
            <w:tcBorders>
              <w:top w:val="nil"/>
              <w:left w:val="nil"/>
              <w:bottom w:val="nil"/>
              <w:right w:val="nil"/>
            </w:tcBorders>
            <w:vAlign w:val="center"/>
          </w:tcPr>
          <w:p w14:paraId="1A8F2B36" w14:textId="77777777" w:rsidR="00A34225" w:rsidRPr="00D35E66" w:rsidRDefault="00A34225" w:rsidP="00DA74AC">
            <w:pPr>
              <w:pStyle w:val="ListParagraph"/>
              <w:spacing w:after="0" w:line="240" w:lineRule="auto"/>
              <w:ind w:left="0"/>
              <w:jc w:val="center"/>
              <w:rPr>
                <w:rFonts w:ascii="Times New Roman" w:hAnsi="Times New Roman" w:cs="Times New Roman"/>
              </w:rPr>
            </w:pPr>
          </w:p>
        </w:tc>
        <w:tc>
          <w:tcPr>
            <w:tcW w:w="709" w:type="dxa"/>
            <w:tcBorders>
              <w:top w:val="nil"/>
              <w:left w:val="nil"/>
              <w:bottom w:val="nil"/>
              <w:right w:val="nil"/>
            </w:tcBorders>
            <w:vAlign w:val="center"/>
          </w:tcPr>
          <w:p w14:paraId="0179703E" w14:textId="77777777" w:rsidR="00A34225" w:rsidRPr="00D35E66" w:rsidRDefault="00A34225" w:rsidP="00DA74AC">
            <w:pPr>
              <w:pStyle w:val="ListParagraph"/>
              <w:spacing w:after="0" w:line="240" w:lineRule="auto"/>
              <w:ind w:left="0"/>
              <w:jc w:val="center"/>
              <w:rPr>
                <w:rFonts w:ascii="Times New Roman" w:hAnsi="Times New Roman" w:cs="Times New Roman"/>
              </w:rPr>
            </w:pPr>
          </w:p>
        </w:tc>
      </w:tr>
      <w:tr w:rsidR="00A34225" w:rsidRPr="00D35E66" w14:paraId="5C42F850" w14:textId="77777777" w:rsidTr="00DA74AC">
        <w:tc>
          <w:tcPr>
            <w:tcW w:w="4536" w:type="dxa"/>
            <w:tcBorders>
              <w:top w:val="nil"/>
              <w:left w:val="nil"/>
              <w:bottom w:val="single" w:sz="4" w:space="0" w:color="auto"/>
              <w:right w:val="nil"/>
            </w:tcBorders>
            <w:vAlign w:val="bottom"/>
            <w:hideMark/>
          </w:tcPr>
          <w:p w14:paraId="13F27CC2" w14:textId="77777777" w:rsidR="00A34225" w:rsidRPr="00D35E66" w:rsidRDefault="00A34225" w:rsidP="00DA74AC">
            <w:pPr>
              <w:pStyle w:val="ListParagraph"/>
              <w:spacing w:after="0" w:line="240" w:lineRule="auto"/>
              <w:ind w:left="284"/>
              <w:jc w:val="both"/>
              <w:rPr>
                <w:rFonts w:ascii="Times New Roman" w:hAnsi="Times New Roman" w:cs="Times New Roman"/>
                <w:i/>
                <w:color w:val="000000"/>
              </w:rPr>
            </w:pPr>
            <w:r w:rsidRPr="00D35E66">
              <w:rPr>
                <w:rFonts w:ascii="Times New Roman" w:hAnsi="Times New Roman" w:cs="Times New Roman"/>
                <w:i/>
                <w:color w:val="000000"/>
              </w:rPr>
              <w:t>Streptococcus α</w:t>
            </w:r>
          </w:p>
        </w:tc>
        <w:tc>
          <w:tcPr>
            <w:tcW w:w="709" w:type="dxa"/>
            <w:tcBorders>
              <w:top w:val="nil"/>
              <w:left w:val="nil"/>
              <w:bottom w:val="single" w:sz="4" w:space="0" w:color="auto"/>
              <w:right w:val="nil"/>
            </w:tcBorders>
            <w:vAlign w:val="bottom"/>
          </w:tcPr>
          <w:p w14:paraId="58A8CA32" w14:textId="77777777" w:rsidR="00A34225" w:rsidRPr="00D35E66" w:rsidRDefault="00A34225" w:rsidP="00DA74AC">
            <w:pPr>
              <w:pStyle w:val="ListParagraph"/>
              <w:spacing w:after="0" w:line="240" w:lineRule="auto"/>
              <w:ind w:left="0"/>
              <w:jc w:val="both"/>
              <w:rPr>
                <w:rFonts w:ascii="Times New Roman" w:hAnsi="Times New Roman" w:cs="Times New Roman"/>
                <w:color w:val="000000"/>
              </w:rPr>
            </w:pPr>
          </w:p>
        </w:tc>
        <w:tc>
          <w:tcPr>
            <w:tcW w:w="1837" w:type="dxa"/>
            <w:tcBorders>
              <w:top w:val="nil"/>
              <w:left w:val="nil"/>
              <w:bottom w:val="single" w:sz="4" w:space="0" w:color="auto"/>
              <w:right w:val="nil"/>
            </w:tcBorders>
            <w:vAlign w:val="center"/>
            <w:hideMark/>
          </w:tcPr>
          <w:p w14:paraId="5E61CCB2"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13</w:t>
            </w:r>
          </w:p>
        </w:tc>
        <w:tc>
          <w:tcPr>
            <w:tcW w:w="709" w:type="dxa"/>
            <w:tcBorders>
              <w:top w:val="nil"/>
              <w:left w:val="nil"/>
              <w:bottom w:val="single" w:sz="4" w:space="0" w:color="auto"/>
              <w:right w:val="nil"/>
            </w:tcBorders>
            <w:vAlign w:val="center"/>
            <w:hideMark/>
          </w:tcPr>
          <w:p w14:paraId="68F6B9CE" w14:textId="77777777" w:rsidR="00A34225" w:rsidRPr="00D35E66" w:rsidRDefault="00A34225" w:rsidP="00DA74AC">
            <w:pPr>
              <w:pStyle w:val="ListParagraph"/>
              <w:spacing w:after="0" w:line="240" w:lineRule="auto"/>
              <w:ind w:left="0"/>
              <w:jc w:val="center"/>
              <w:rPr>
                <w:rFonts w:ascii="Times New Roman" w:hAnsi="Times New Roman" w:cs="Times New Roman"/>
              </w:rPr>
            </w:pPr>
            <w:r w:rsidRPr="00D35E66">
              <w:rPr>
                <w:rFonts w:ascii="Times New Roman" w:hAnsi="Times New Roman" w:cs="Times New Roman"/>
              </w:rPr>
              <w:t>22</w:t>
            </w:r>
          </w:p>
        </w:tc>
      </w:tr>
    </w:tbl>
    <w:p w14:paraId="013E4CD2" w14:textId="77777777" w:rsidR="00DA74AC" w:rsidRDefault="00DA74AC" w:rsidP="00DA74AC">
      <w:pPr>
        <w:spacing w:before="240" w:line="240" w:lineRule="auto"/>
        <w:jc w:val="both"/>
        <w:rPr>
          <w:rFonts w:ascii="Times New Roman" w:hAnsi="Times New Roman" w:cs="Times New Roman"/>
          <w:sz w:val="24"/>
          <w:szCs w:val="24"/>
        </w:rPr>
        <w:sectPr w:rsidR="00DA74AC" w:rsidSect="0076199B">
          <w:type w:val="continuous"/>
          <w:pgSz w:w="11907" w:h="16839" w:code="9"/>
          <w:pgMar w:top="1440" w:right="1440" w:bottom="1440" w:left="1440" w:header="720" w:footer="720" w:gutter="0"/>
          <w:cols w:space="720"/>
          <w:docGrid w:linePitch="360"/>
        </w:sectPr>
      </w:pPr>
    </w:p>
    <w:p w14:paraId="0FFB9F2F" w14:textId="629ECD7E" w:rsidR="00A34225" w:rsidRDefault="004B42FB" w:rsidP="00DA74A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Menurut Bosch dkk., (2013) </w:t>
      </w:r>
      <w:r>
        <w:rPr>
          <w:rFonts w:ascii="Times New Roman" w:hAnsi="Times New Roman" w:cs="Times New Roman"/>
          <w:i/>
          <w:sz w:val="24"/>
          <w:szCs w:val="24"/>
        </w:rPr>
        <w:t>H. influenzae</w:t>
      </w:r>
      <w:r>
        <w:rPr>
          <w:rFonts w:ascii="Times New Roman" w:hAnsi="Times New Roman" w:cs="Times New Roman"/>
          <w:sz w:val="24"/>
          <w:szCs w:val="24"/>
        </w:rPr>
        <w:t xml:space="preserve"> umumnya dikenal sebagai agen penyebab dalam infeksi saluran pernapasan. </w:t>
      </w:r>
      <w:r>
        <w:rPr>
          <w:rFonts w:ascii="Times New Roman" w:hAnsi="Times New Roman" w:cs="Times New Roman"/>
          <w:i/>
          <w:sz w:val="24"/>
          <w:szCs w:val="24"/>
        </w:rPr>
        <w:t>Haemophilus influenzae</w:t>
      </w:r>
      <w:r>
        <w:rPr>
          <w:rFonts w:ascii="Times New Roman" w:hAnsi="Times New Roman" w:cs="Times New Roman"/>
          <w:sz w:val="24"/>
          <w:szCs w:val="24"/>
        </w:rPr>
        <w:t xml:space="preserve"> juga sering berkolonisasi di daerah nasofaring (Pettigrew dkk., 2008). Pada penelitian yang dilakukan oleh Zurainaa dkk., (2018) di Malaysia menggambarkan bahwa dari total 345 bakteri yang diisolasi pada kasus ISPA, 60% (n=207) merupakan bakteri </w:t>
      </w:r>
      <w:r>
        <w:rPr>
          <w:rFonts w:ascii="Times New Roman" w:hAnsi="Times New Roman" w:cs="Times New Roman"/>
          <w:i/>
          <w:sz w:val="24"/>
          <w:szCs w:val="24"/>
        </w:rPr>
        <w:t>Haemophilus influenzae</w:t>
      </w:r>
      <w:r>
        <w:rPr>
          <w:rFonts w:ascii="Times New Roman" w:hAnsi="Times New Roman" w:cs="Times New Roman"/>
          <w:sz w:val="24"/>
          <w:szCs w:val="24"/>
        </w:rPr>
        <w:t>.</w:t>
      </w:r>
    </w:p>
    <w:p w14:paraId="76378FE3" w14:textId="5DCD734A" w:rsidR="004B42FB" w:rsidRDefault="004B42FB" w:rsidP="004B42FB">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Pada penelitian ini Gram positif, bakteri yang dominan adalah </w:t>
      </w:r>
      <w:r>
        <w:rPr>
          <w:rFonts w:ascii="Times New Roman" w:hAnsi="Times New Roman" w:cs="Times New Roman"/>
          <w:i/>
          <w:color w:val="000000"/>
          <w:sz w:val="24"/>
          <w:szCs w:val="24"/>
        </w:rPr>
        <w:t>Streptococcus ρneumoniae.</w:t>
      </w:r>
      <w:r>
        <w:rPr>
          <w:rFonts w:ascii="Times New Roman" w:hAnsi="Times New Roman" w:cs="Times New Roman"/>
          <w:color w:val="000000"/>
          <w:sz w:val="24"/>
          <w:szCs w:val="24"/>
        </w:rPr>
        <w:t xml:space="preserve"> Bhuyan dkk., (2017) juga melaporkan bahwa </w:t>
      </w:r>
      <w:r>
        <w:rPr>
          <w:rFonts w:ascii="Times New Roman" w:hAnsi="Times New Roman" w:cs="Times New Roman"/>
          <w:color w:val="000000"/>
          <w:sz w:val="24"/>
          <w:szCs w:val="24"/>
        </w:rPr>
        <w:t xml:space="preserve">selain </w:t>
      </w:r>
      <w:r>
        <w:rPr>
          <w:rFonts w:ascii="Times New Roman" w:hAnsi="Times New Roman" w:cs="Times New Roman"/>
          <w:i/>
          <w:sz w:val="24"/>
          <w:szCs w:val="24"/>
        </w:rPr>
        <w:t xml:space="preserve">Klebsiella ρneumoniae </w:t>
      </w:r>
      <w:r>
        <w:rPr>
          <w:rFonts w:ascii="Times New Roman" w:hAnsi="Times New Roman" w:cs="Times New Roman"/>
          <w:sz w:val="24"/>
          <w:szCs w:val="24"/>
        </w:rPr>
        <w:t xml:space="preserve">dan </w:t>
      </w:r>
      <w:r>
        <w:rPr>
          <w:rFonts w:ascii="Times New Roman" w:hAnsi="Times New Roman" w:cs="Times New Roman"/>
          <w:i/>
          <w:sz w:val="24"/>
          <w:szCs w:val="24"/>
        </w:rPr>
        <w:t xml:space="preserve">Haemophilus influenzae, </w:t>
      </w:r>
      <w:r>
        <w:rPr>
          <w:rFonts w:ascii="Times New Roman" w:hAnsi="Times New Roman" w:cs="Times New Roman"/>
          <w:sz w:val="24"/>
          <w:szCs w:val="24"/>
        </w:rPr>
        <w:t>bakteri penyebab ISPA yang paling sering dikaitkan pada kejadian ISPA adalah</w:t>
      </w:r>
      <w:r>
        <w:rPr>
          <w:rFonts w:ascii="Times New Roman" w:hAnsi="Times New Roman" w:cs="Times New Roman"/>
          <w:i/>
          <w:sz w:val="24"/>
          <w:szCs w:val="24"/>
        </w:rPr>
        <w:t xml:space="preserve"> Streptococcus ρneumoniae, </w:t>
      </w:r>
      <w:r>
        <w:rPr>
          <w:rFonts w:ascii="Times New Roman" w:hAnsi="Times New Roman" w:cs="Times New Roman"/>
          <w:sz w:val="24"/>
          <w:szCs w:val="24"/>
        </w:rPr>
        <w:t>dan</w:t>
      </w:r>
      <w:r>
        <w:rPr>
          <w:rFonts w:ascii="Times New Roman" w:hAnsi="Times New Roman" w:cs="Times New Roman"/>
          <w:i/>
          <w:sz w:val="24"/>
          <w:szCs w:val="24"/>
        </w:rPr>
        <w:t xml:space="preserve"> Staphylococcus aureus.</w:t>
      </w:r>
      <w:r>
        <w:rPr>
          <w:rFonts w:ascii="Times New Roman" w:hAnsi="Times New Roman" w:cs="Times New Roman"/>
          <w:sz w:val="24"/>
          <w:szCs w:val="24"/>
        </w:rPr>
        <w:t xml:space="preserve"> Bahkan penelitian yang dilakukan oleh </w:t>
      </w:r>
      <w:r>
        <w:rPr>
          <w:rFonts w:ascii="Times New Roman" w:hAnsi="Times New Roman" w:cs="Times New Roman"/>
          <w:color w:val="000000"/>
          <w:sz w:val="24"/>
          <w:szCs w:val="24"/>
        </w:rPr>
        <w:t xml:space="preserve">Bhuyan dkk., (2017) pada anak yang terinfeksi ISPA menyatakan dari 46 bakteri patogen yang diisolasi, </w:t>
      </w:r>
      <w:r>
        <w:rPr>
          <w:rFonts w:ascii="Times New Roman" w:hAnsi="Times New Roman" w:cs="Times New Roman"/>
          <w:i/>
          <w:sz w:val="24"/>
          <w:szCs w:val="24"/>
        </w:rPr>
        <w:t xml:space="preserve">Streptococcus ρneumoniae </w:t>
      </w:r>
      <w:r>
        <w:rPr>
          <w:rFonts w:ascii="Times New Roman" w:hAnsi="Times New Roman" w:cs="Times New Roman"/>
          <w:sz w:val="24"/>
          <w:szCs w:val="24"/>
        </w:rPr>
        <w:t xml:space="preserve">memiliki jumlah terbanyak (18/46; 39%) kemudian </w:t>
      </w:r>
      <w:r>
        <w:rPr>
          <w:rFonts w:ascii="Times New Roman" w:hAnsi="Times New Roman" w:cs="Times New Roman"/>
          <w:i/>
          <w:sz w:val="24"/>
          <w:szCs w:val="24"/>
        </w:rPr>
        <w:t>K. pneumaniae</w:t>
      </w:r>
      <w:r>
        <w:rPr>
          <w:rFonts w:ascii="Times New Roman" w:hAnsi="Times New Roman" w:cs="Times New Roman"/>
          <w:sz w:val="24"/>
          <w:szCs w:val="24"/>
        </w:rPr>
        <w:t xml:space="preserve"> (11/46; 24%), </w:t>
      </w:r>
      <w:r>
        <w:rPr>
          <w:rFonts w:ascii="Times New Roman" w:hAnsi="Times New Roman" w:cs="Times New Roman"/>
          <w:i/>
          <w:sz w:val="24"/>
          <w:szCs w:val="24"/>
        </w:rPr>
        <w:t>Streptococcus spp.</w:t>
      </w:r>
      <w:r>
        <w:rPr>
          <w:rFonts w:ascii="Times New Roman" w:hAnsi="Times New Roman" w:cs="Times New Roman"/>
          <w:sz w:val="24"/>
          <w:szCs w:val="24"/>
        </w:rPr>
        <w:t xml:space="preserve"> (10/46; 22%), dan </w:t>
      </w:r>
      <w:r>
        <w:rPr>
          <w:rFonts w:ascii="Times New Roman" w:hAnsi="Times New Roman" w:cs="Times New Roman"/>
          <w:i/>
          <w:sz w:val="24"/>
          <w:szCs w:val="24"/>
        </w:rPr>
        <w:t>H. influenzae</w:t>
      </w:r>
      <w:r>
        <w:rPr>
          <w:rFonts w:ascii="Times New Roman" w:hAnsi="Times New Roman" w:cs="Times New Roman"/>
          <w:sz w:val="24"/>
          <w:szCs w:val="24"/>
        </w:rPr>
        <w:t xml:space="preserve"> (3/46; 6%).</w:t>
      </w:r>
    </w:p>
    <w:p w14:paraId="317E5FD4" w14:textId="77777777" w:rsidR="00DA74AC" w:rsidRDefault="00DA74AC" w:rsidP="004B42FB">
      <w:pPr>
        <w:spacing w:line="240" w:lineRule="auto"/>
        <w:jc w:val="center"/>
        <w:rPr>
          <w:rFonts w:ascii="Times New Roman" w:hAnsi="Times New Roman" w:cs="Times New Roman"/>
          <w:sz w:val="24"/>
          <w:szCs w:val="24"/>
        </w:rPr>
        <w:sectPr w:rsidR="00DA74AC" w:rsidSect="00DA74AC">
          <w:type w:val="continuous"/>
          <w:pgSz w:w="11907" w:h="16839" w:code="9"/>
          <w:pgMar w:top="1440" w:right="1440" w:bottom="1440" w:left="1440" w:header="720" w:footer="720" w:gutter="0"/>
          <w:cols w:num="2" w:space="283"/>
          <w:docGrid w:linePitch="360"/>
        </w:sectPr>
      </w:pPr>
    </w:p>
    <w:p w14:paraId="7A8CC951" w14:textId="4E15B2EF" w:rsidR="004B42FB" w:rsidRDefault="00175059" w:rsidP="004B42FB">
      <w:pPr>
        <w:spacing w:line="240" w:lineRule="auto"/>
        <w:jc w:val="center"/>
        <w:rPr>
          <w:rFonts w:ascii="Times New Roman" w:hAnsi="Times New Roman" w:cs="Times New Roman"/>
          <w:sz w:val="24"/>
          <w:szCs w:val="24"/>
        </w:rPr>
      </w:pPr>
      <w:r>
        <w:rPr>
          <w:noProof/>
          <w:lang w:val="en-ID" w:eastAsia="en-ID"/>
        </w:rPr>
        <mc:AlternateContent>
          <mc:Choice Requires="wps">
            <w:drawing>
              <wp:anchor distT="0" distB="0" distL="114300" distR="114300" simplePos="0" relativeHeight="251659264" behindDoc="0" locked="0" layoutInCell="1" allowOverlap="1" wp14:anchorId="1A268CC6" wp14:editId="04C8D3C9">
                <wp:simplePos x="0" y="0"/>
                <wp:positionH relativeFrom="column">
                  <wp:posOffset>3712845</wp:posOffset>
                </wp:positionH>
                <wp:positionV relativeFrom="paragraph">
                  <wp:posOffset>131445</wp:posOffset>
                </wp:positionV>
                <wp:extent cx="0" cy="2571750"/>
                <wp:effectExtent l="19050" t="0" r="19050" b="19050"/>
                <wp:wrapNone/>
                <wp:docPr id="4" name="Straight Connector 4"/>
                <wp:cNvGraphicFramePr/>
                <a:graphic xmlns:a="http://schemas.openxmlformats.org/drawingml/2006/main">
                  <a:graphicData uri="http://schemas.microsoft.com/office/word/2010/wordprocessingShape">
                    <wps:wsp>
                      <wps:cNvCnPr/>
                      <wps:spPr>
                        <a:xfrm>
                          <a:off x="0" y="0"/>
                          <a:ext cx="0" cy="25717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02C7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35pt,10.35pt" to="292.35pt,2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" strokecolor="red" strokeweight="2.25pt">
                <v:stroke joinstyle="miter"/>
              </v:line>
            </w:pict>
          </mc:Fallback>
        </mc:AlternateContent>
      </w:r>
      <w:r w:rsidR="004B42FB">
        <w:rPr>
          <w:noProof/>
          <w:lang w:val="en-ID" w:eastAsia="en-ID"/>
        </w:rPr>
        <w:drawing>
          <wp:inline distT="0" distB="0" distL="0" distR="0" wp14:anchorId="07E7C8E5" wp14:editId="317F6FF5">
            <wp:extent cx="3990975" cy="2705100"/>
            <wp:effectExtent l="0" t="0" r="9525" b="0"/>
            <wp:docPr id="2" name="Chart 2">
              <a:extLst xmlns:a="http://schemas.openxmlformats.org/drawingml/2006/main">
                <a:ext uri="{FF2B5EF4-FFF2-40B4-BE49-F238E27FC236}">
                  <a16:creationId xmlns:a16="http://schemas.microsoft.com/office/drawing/2014/main" id="{02859CC2-99E6-4C25-99AD-8704E107C8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93778D3" w14:textId="77777777" w:rsidR="00DA74AC" w:rsidRDefault="00DA74AC" w:rsidP="004B42FB">
      <w:pPr>
        <w:spacing w:line="240" w:lineRule="auto"/>
        <w:jc w:val="center"/>
        <w:rPr>
          <w:rFonts w:ascii="Times New Roman" w:hAnsi="Times New Roman" w:cs="Times New Roman"/>
          <w:b/>
          <w:szCs w:val="24"/>
        </w:rPr>
      </w:pPr>
    </w:p>
    <w:p w14:paraId="502201EC" w14:textId="2771863C" w:rsidR="004B42FB" w:rsidRDefault="004B42FB" w:rsidP="004B42FB">
      <w:pPr>
        <w:spacing w:line="240" w:lineRule="auto"/>
        <w:jc w:val="center"/>
        <w:rPr>
          <w:rFonts w:ascii="Times New Roman" w:hAnsi="Times New Roman" w:cs="Times New Roman"/>
          <w:sz w:val="24"/>
          <w:szCs w:val="24"/>
        </w:rPr>
      </w:pPr>
      <w:r>
        <w:rPr>
          <w:rFonts w:ascii="Times New Roman" w:hAnsi="Times New Roman" w:cs="Times New Roman"/>
          <w:b/>
          <w:szCs w:val="24"/>
        </w:rPr>
        <w:t>Gambar 1. Grafik Profil Antibiogram Bakteri Gram Negatif</w:t>
      </w:r>
      <w:r w:rsidRPr="004B42FB">
        <w:rPr>
          <w:rFonts w:ascii="Times New Roman" w:hAnsi="Times New Roman" w:cs="Times New Roman"/>
          <w:sz w:val="24"/>
          <w:szCs w:val="24"/>
        </w:rPr>
        <w:t xml:space="preserve"> </w:t>
      </w:r>
    </w:p>
    <w:p w14:paraId="61B0BDFF" w14:textId="77777777" w:rsidR="00DA74AC" w:rsidRDefault="00DA74AC" w:rsidP="004B42FB">
      <w:pPr>
        <w:spacing w:line="240" w:lineRule="auto"/>
        <w:jc w:val="both"/>
        <w:rPr>
          <w:rFonts w:ascii="Times New Roman" w:hAnsi="Times New Roman" w:cs="Times New Roman"/>
          <w:sz w:val="24"/>
          <w:szCs w:val="24"/>
        </w:rPr>
        <w:sectPr w:rsidR="00DA74AC" w:rsidSect="0076199B">
          <w:type w:val="continuous"/>
          <w:pgSz w:w="11907" w:h="16839" w:code="9"/>
          <w:pgMar w:top="1440" w:right="1440" w:bottom="1440" w:left="1440" w:header="720" w:footer="720" w:gutter="0"/>
          <w:cols w:space="720"/>
          <w:docGrid w:linePitch="360"/>
        </w:sectPr>
      </w:pPr>
    </w:p>
    <w:p w14:paraId="6B9A8CF7" w14:textId="44288630" w:rsidR="004B42FB" w:rsidRDefault="004B42FB" w:rsidP="004B42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Pada gambar 1, di </w:t>
      </w:r>
      <w:bookmarkStart w:id="9" w:name="_Hlk20318649"/>
      <w:r>
        <w:rPr>
          <w:rFonts w:ascii="Times New Roman" w:hAnsi="Times New Roman" w:cs="Times New Roman"/>
          <w:sz w:val="24"/>
          <w:szCs w:val="24"/>
        </w:rPr>
        <w:t xml:space="preserve">gambarkan mengenai grafik profil antibiogram untuk semua bakteri gram negatif yang di isolasi dari puskesmas </w:t>
      </w:r>
      <w:r>
        <w:rPr>
          <w:rFonts w:ascii="Times New Roman" w:hAnsi="Times New Roman" w:cs="Times New Roman"/>
          <w:sz w:val="24"/>
          <w:szCs w:val="24"/>
        </w:rPr>
        <w:t xml:space="preserve">Jetis. Hasil uji sensitivitas menunjukkan antibiotik yang memiliki angka sensitivitas &gt;80% adalah amoksisilin/asam clavulanat, </w:t>
      </w:r>
      <w:r>
        <w:rPr>
          <w:rFonts w:ascii="Times New Roman" w:hAnsi="Times New Roman" w:cs="Times New Roman"/>
          <w:sz w:val="24"/>
          <w:szCs w:val="24"/>
        </w:rPr>
        <w:lastRenderedPageBreak/>
        <w:t>ampisilin-sulbaktam, tazobaktam-piperasilin, sefotaksime, seftazidime, seftriakson, sefepime, siprofloksasin, levofloksasin, gentamisin, tobramisin, amikasin, meropenem, kotrimoksazol, dan piperacillin.</w:t>
      </w:r>
      <w:bookmarkEnd w:id="9"/>
    </w:p>
    <w:p w14:paraId="0C43D412" w14:textId="6FE651A2" w:rsidR="004B42FB" w:rsidRDefault="004B42FB" w:rsidP="004B42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Pada penelitian yang dilakukan oleh Kousalya., dkk (2010) menggambarkan bahwa beberapa antibiotik seperti ampisilin, klorampenikol memiliki sensitivitas yang buruk terhadap bakteri gram negatif seperti </w:t>
      </w:r>
      <w:r>
        <w:rPr>
          <w:rFonts w:ascii="Times New Roman" w:hAnsi="Times New Roman" w:cs="Times New Roman"/>
          <w:i/>
          <w:sz w:val="24"/>
          <w:szCs w:val="24"/>
        </w:rPr>
        <w:t xml:space="preserve">Klebsiella pneumoniae </w:t>
      </w:r>
      <w:r>
        <w:rPr>
          <w:rFonts w:ascii="Times New Roman" w:hAnsi="Times New Roman" w:cs="Times New Roman"/>
          <w:sz w:val="24"/>
          <w:szCs w:val="24"/>
        </w:rPr>
        <w:t xml:space="preserve">(44,12%; 61,76%) dan </w:t>
      </w:r>
      <w:r>
        <w:rPr>
          <w:rFonts w:ascii="Times New Roman" w:hAnsi="Times New Roman" w:cs="Times New Roman"/>
          <w:i/>
          <w:sz w:val="24"/>
          <w:szCs w:val="24"/>
        </w:rPr>
        <w:t xml:space="preserve">H. influenzae </w:t>
      </w:r>
      <w:r>
        <w:rPr>
          <w:rFonts w:ascii="Times New Roman" w:hAnsi="Times New Roman" w:cs="Times New Roman"/>
          <w:sz w:val="24"/>
          <w:szCs w:val="24"/>
        </w:rPr>
        <w:t xml:space="preserve">(33,33%; 66,67%). Hasil tersebut sesuai dengan sensitivitas antibiotik untuk bakteri Gram negatif yang di temukan di Puskesmas Jetis, yaitu </w:t>
      </w:r>
      <w:r>
        <w:rPr>
          <w:rFonts w:ascii="Times New Roman" w:hAnsi="Times New Roman" w:cs="Times New Roman"/>
          <w:i/>
          <w:sz w:val="24"/>
          <w:szCs w:val="24"/>
        </w:rPr>
        <w:t xml:space="preserve">Klebsiella pneumoniae </w:t>
      </w:r>
      <w:r>
        <w:rPr>
          <w:rFonts w:ascii="Times New Roman" w:hAnsi="Times New Roman" w:cs="Times New Roman"/>
          <w:sz w:val="24"/>
          <w:szCs w:val="24"/>
        </w:rPr>
        <w:t xml:space="preserve">(ampisilin = 0%) dan </w:t>
      </w:r>
      <w:r>
        <w:rPr>
          <w:rFonts w:ascii="Times New Roman" w:hAnsi="Times New Roman" w:cs="Times New Roman"/>
          <w:i/>
          <w:sz w:val="24"/>
          <w:szCs w:val="24"/>
        </w:rPr>
        <w:t xml:space="preserve">H. influenzae </w:t>
      </w:r>
      <w:r>
        <w:rPr>
          <w:rFonts w:ascii="Times New Roman" w:hAnsi="Times New Roman" w:cs="Times New Roman"/>
          <w:sz w:val="24"/>
          <w:szCs w:val="24"/>
        </w:rPr>
        <w:t xml:space="preserve">(ampisilin = 33%; klorampenikol = 67%), sehingga dapat dikatakan bahwa antibiotik ampisilin dan klorampenikol untuk </w:t>
      </w:r>
      <w:r>
        <w:rPr>
          <w:rFonts w:ascii="Times New Roman" w:hAnsi="Times New Roman" w:cs="Times New Roman"/>
          <w:sz w:val="24"/>
          <w:szCs w:val="24"/>
        </w:rPr>
        <w:t>Gram negatif mengalami resistensi antibiotik. Pada penelitian ini juga terjadi resistensi pada antibiotik tetrasiklin dengan sensitivitas 43% untuk Gram negatif.</w:t>
      </w:r>
    </w:p>
    <w:p w14:paraId="71D6A9F0" w14:textId="53424037" w:rsidR="00D35E66" w:rsidRDefault="00D35E66" w:rsidP="004B42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 sensitivitas pada gambar 2, menunjukkan antibiotik yang memiliki angka sensitivitas &gt;80% adalah </w:t>
      </w:r>
      <w:bookmarkStart w:id="10" w:name="_Hlk20318776"/>
      <w:r>
        <w:rPr>
          <w:rFonts w:ascii="Times New Roman" w:hAnsi="Times New Roman" w:cs="Times New Roman"/>
          <w:sz w:val="24"/>
          <w:szCs w:val="24"/>
        </w:rPr>
        <w:t>ampisilin, gentamisin, sefepime, seftriakson, sefotaksim, siprofloksasin, levofloksasin, eritromisin, linezolid, vankomisin, kotrimoksazol dan klorampenikol</w:t>
      </w:r>
      <w:bookmarkEnd w:id="10"/>
      <w:r>
        <w:rPr>
          <w:rFonts w:ascii="Times New Roman" w:hAnsi="Times New Roman" w:cs="Times New Roman"/>
          <w:sz w:val="24"/>
          <w:szCs w:val="24"/>
        </w:rPr>
        <w:t>. Pada penelitian ini juga terjadi resistensi pada antibiotik tetrasiklin (50%), penisilin (77%) dan klindamisin (79%) untuk Gram positif. Kousalya., dkk (2010) mengatakan bahwa resistensi pada penisilin di pengaruhi oleh penggunaan antibiotik penisilin yang terlalu sering di komunitas karena mudah di peroleh dari toko obat.</w:t>
      </w:r>
    </w:p>
    <w:p w14:paraId="44AC7FBB" w14:textId="77777777" w:rsidR="00DA74AC" w:rsidRDefault="00DA74AC" w:rsidP="004B42FB">
      <w:pPr>
        <w:spacing w:line="240" w:lineRule="auto"/>
        <w:jc w:val="center"/>
        <w:rPr>
          <w:rFonts w:ascii="Times New Roman" w:hAnsi="Times New Roman" w:cs="Times New Roman"/>
          <w:sz w:val="24"/>
        </w:rPr>
        <w:sectPr w:rsidR="00DA74AC" w:rsidSect="00DA74AC">
          <w:type w:val="continuous"/>
          <w:pgSz w:w="11907" w:h="16839" w:code="9"/>
          <w:pgMar w:top="1440" w:right="1440" w:bottom="1440" w:left="1440" w:header="720" w:footer="720" w:gutter="0"/>
          <w:cols w:num="2" w:space="283"/>
          <w:docGrid w:linePitch="360"/>
        </w:sectPr>
      </w:pPr>
    </w:p>
    <w:p w14:paraId="36B1D118" w14:textId="5475C251" w:rsidR="004B42FB" w:rsidRDefault="00175059" w:rsidP="004B42FB">
      <w:pPr>
        <w:spacing w:line="240" w:lineRule="auto"/>
        <w:jc w:val="center"/>
        <w:rPr>
          <w:rFonts w:ascii="Times New Roman" w:hAnsi="Times New Roman" w:cs="Times New Roman"/>
          <w:sz w:val="24"/>
        </w:rPr>
      </w:pPr>
      <w:r>
        <w:rPr>
          <w:noProof/>
          <w:lang w:val="en-ID" w:eastAsia="en-ID"/>
        </w:rPr>
        <mc:AlternateContent>
          <mc:Choice Requires="wps">
            <w:drawing>
              <wp:anchor distT="0" distB="0" distL="114300" distR="114300" simplePos="0" relativeHeight="251660288" behindDoc="0" locked="0" layoutInCell="1" allowOverlap="1" wp14:anchorId="725CB5FA" wp14:editId="6E5E28C1">
                <wp:simplePos x="0" y="0"/>
                <wp:positionH relativeFrom="column">
                  <wp:posOffset>3674745</wp:posOffset>
                </wp:positionH>
                <wp:positionV relativeFrom="paragraph">
                  <wp:posOffset>149860</wp:posOffset>
                </wp:positionV>
                <wp:extent cx="0" cy="2047875"/>
                <wp:effectExtent l="19050" t="0" r="19050" b="28575"/>
                <wp:wrapNone/>
                <wp:docPr id="5" name="Straight Connector 5"/>
                <wp:cNvGraphicFramePr/>
                <a:graphic xmlns:a="http://schemas.openxmlformats.org/drawingml/2006/main">
                  <a:graphicData uri="http://schemas.microsoft.com/office/word/2010/wordprocessingShape">
                    <wps:wsp>
                      <wps:cNvCnPr/>
                      <wps:spPr>
                        <a:xfrm>
                          <a:off x="0" y="0"/>
                          <a:ext cx="0" cy="20478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1A22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9.35pt,11.8pt" to="289.35pt,1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" strokecolor="red" strokeweight="2.25pt">
                <v:stroke joinstyle="miter"/>
              </v:line>
            </w:pict>
          </mc:Fallback>
        </mc:AlternateContent>
      </w:r>
      <w:r w:rsidR="004B42FB">
        <w:rPr>
          <w:noProof/>
          <w:lang w:val="en-ID" w:eastAsia="en-ID"/>
        </w:rPr>
        <w:drawing>
          <wp:inline distT="0" distB="0" distL="0" distR="0" wp14:anchorId="1AA933EA" wp14:editId="601A881B">
            <wp:extent cx="3848100" cy="2200275"/>
            <wp:effectExtent l="0" t="0" r="0" b="9525"/>
            <wp:docPr id="6" name="Chart 6">
              <a:extLst xmlns:a="http://schemas.openxmlformats.org/drawingml/2006/main">
                <a:ext uri="{FF2B5EF4-FFF2-40B4-BE49-F238E27FC236}">
                  <a16:creationId xmlns:a16="http://schemas.microsoft.com/office/drawing/2014/main" id="{8F7D8AB4-CF46-49AE-8101-495438EE61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E09BED" w14:textId="739F6BC5" w:rsidR="004B42FB" w:rsidRDefault="004B42FB" w:rsidP="004B42FB">
      <w:pPr>
        <w:spacing w:line="240" w:lineRule="auto"/>
        <w:jc w:val="center"/>
        <w:rPr>
          <w:rFonts w:ascii="Times New Roman" w:hAnsi="Times New Roman" w:cs="Times New Roman"/>
          <w:b/>
          <w:szCs w:val="24"/>
        </w:rPr>
      </w:pPr>
      <w:r>
        <w:rPr>
          <w:rFonts w:ascii="Times New Roman" w:hAnsi="Times New Roman" w:cs="Times New Roman"/>
          <w:b/>
          <w:szCs w:val="24"/>
        </w:rPr>
        <w:t>Gambar 2. Grafik Profil Antibiogram Bakteri Gram Positif</w:t>
      </w:r>
    </w:p>
    <w:p w14:paraId="0DB8D890" w14:textId="53A5D90E" w:rsidR="00CA2D72" w:rsidRDefault="00CA2D72" w:rsidP="00D35E66">
      <w:pPr>
        <w:spacing w:before="120" w:line="240" w:lineRule="auto"/>
        <w:jc w:val="both"/>
        <w:rPr>
          <w:rFonts w:ascii="Times New Roman" w:hAnsi="Times New Roman" w:cs="Times New Roman"/>
          <w:b/>
          <w:sz w:val="24"/>
        </w:rPr>
      </w:pPr>
      <w:r w:rsidRPr="00CA2D72">
        <w:rPr>
          <w:rFonts w:ascii="Times New Roman" w:hAnsi="Times New Roman" w:cs="Times New Roman"/>
          <w:b/>
          <w:sz w:val="24"/>
        </w:rPr>
        <w:t>KESIMPULAN</w:t>
      </w:r>
    </w:p>
    <w:p w14:paraId="59CDB692" w14:textId="77777777" w:rsidR="00DA74AC" w:rsidRDefault="00DA74AC" w:rsidP="00CA2D72">
      <w:pPr>
        <w:spacing w:line="240" w:lineRule="auto"/>
        <w:jc w:val="both"/>
        <w:rPr>
          <w:rFonts w:ascii="Times New Roman" w:hAnsi="Times New Roman" w:cs="Times New Roman"/>
          <w:sz w:val="24"/>
          <w:szCs w:val="24"/>
        </w:rPr>
        <w:sectPr w:rsidR="00DA74AC" w:rsidSect="0076199B">
          <w:type w:val="continuous"/>
          <w:pgSz w:w="11907" w:h="16839" w:code="9"/>
          <w:pgMar w:top="1440" w:right="1440" w:bottom="1440" w:left="1440" w:header="720" w:footer="720" w:gutter="0"/>
          <w:cols w:space="720"/>
          <w:docGrid w:linePitch="360"/>
        </w:sectPr>
      </w:pPr>
    </w:p>
    <w:p w14:paraId="1C84DD0F" w14:textId="0496820A" w:rsidR="00CA2D72" w:rsidRDefault="00CA2D72" w:rsidP="00CA2D72">
      <w:pPr>
        <w:spacing w:line="240" w:lineRule="auto"/>
        <w:jc w:val="both"/>
        <w:rPr>
          <w:rFonts w:ascii="Times New Roman" w:hAnsi="Times New Roman" w:cs="Times New Roman"/>
          <w:sz w:val="24"/>
        </w:rPr>
      </w:pPr>
      <w:r w:rsidRPr="00BF3CC7">
        <w:rPr>
          <w:rFonts w:ascii="Times New Roman" w:hAnsi="Times New Roman" w:cs="Times New Roman"/>
          <w:sz w:val="24"/>
          <w:szCs w:val="24"/>
        </w:rPr>
        <w:t>Gambaran mengenai profil antibiogram pada pasien ISPA di puskesmas Jetis Yogyakarta, yaitu pola bakteri Gram negatif yang terbesar (</w:t>
      </w:r>
      <w:r>
        <w:rPr>
          <w:rFonts w:ascii="Times New Roman" w:hAnsi="Times New Roman" w:cs="Times New Roman"/>
          <w:sz w:val="24"/>
          <w:szCs w:val="24"/>
        </w:rPr>
        <w:t>50,8</w:t>
      </w:r>
      <w:r w:rsidRPr="00BF3CC7">
        <w:rPr>
          <w:rFonts w:ascii="Times New Roman" w:hAnsi="Times New Roman" w:cs="Times New Roman"/>
          <w:sz w:val="24"/>
          <w:szCs w:val="24"/>
        </w:rPr>
        <w:t>%)</w:t>
      </w:r>
      <w:r>
        <w:rPr>
          <w:rFonts w:ascii="Times New Roman" w:hAnsi="Times New Roman" w:cs="Times New Roman"/>
          <w:sz w:val="24"/>
          <w:szCs w:val="24"/>
        </w:rPr>
        <w:t xml:space="preserve"> dan</w:t>
      </w:r>
      <w:r w:rsidRPr="00BF3CC7">
        <w:rPr>
          <w:rFonts w:ascii="Times New Roman" w:hAnsi="Times New Roman" w:cs="Times New Roman"/>
          <w:sz w:val="24"/>
          <w:szCs w:val="24"/>
        </w:rPr>
        <w:t xml:space="preserve"> bakteri Gram positif didapatkan hasil sebanyak </w:t>
      </w:r>
      <w:r>
        <w:rPr>
          <w:rFonts w:ascii="Times New Roman" w:hAnsi="Times New Roman" w:cs="Times New Roman"/>
          <w:sz w:val="24"/>
          <w:szCs w:val="24"/>
        </w:rPr>
        <w:t>27,2</w:t>
      </w:r>
      <w:r w:rsidRPr="00BF3CC7">
        <w:rPr>
          <w:rFonts w:ascii="Times New Roman" w:hAnsi="Times New Roman" w:cs="Times New Roman"/>
          <w:sz w:val="24"/>
          <w:szCs w:val="24"/>
        </w:rPr>
        <w:t>%</w:t>
      </w:r>
      <w:r>
        <w:rPr>
          <w:rFonts w:ascii="Times New Roman" w:hAnsi="Times New Roman" w:cs="Times New Roman"/>
          <w:sz w:val="24"/>
          <w:szCs w:val="24"/>
        </w:rPr>
        <w:t xml:space="preserve">. </w:t>
      </w:r>
      <w:r w:rsidRPr="00BF3CC7">
        <w:rPr>
          <w:rFonts w:ascii="Times New Roman" w:hAnsi="Times New Roman" w:cs="Times New Roman"/>
          <w:sz w:val="24"/>
          <w:szCs w:val="24"/>
        </w:rPr>
        <w:t>Berdasarkan evaluasi kesesuaian penggunaan antibiotik empirik terhadap pedoman, diperoleh 4</w:t>
      </w:r>
      <w:r w:rsidR="00165B1B">
        <w:rPr>
          <w:rFonts w:ascii="Times New Roman" w:hAnsi="Times New Roman" w:cs="Times New Roman"/>
          <w:sz w:val="24"/>
          <w:szCs w:val="24"/>
        </w:rPr>
        <w:t>0</w:t>
      </w:r>
      <w:r w:rsidRPr="00BF3CC7">
        <w:rPr>
          <w:rFonts w:ascii="Times New Roman" w:hAnsi="Times New Roman" w:cs="Times New Roman"/>
          <w:sz w:val="24"/>
          <w:szCs w:val="24"/>
        </w:rPr>
        <w:t xml:space="preserve"> pasien</w:t>
      </w:r>
      <w:r>
        <w:rPr>
          <w:rFonts w:ascii="Times New Roman" w:hAnsi="Times New Roman" w:cs="Times New Roman"/>
          <w:sz w:val="24"/>
          <w:szCs w:val="24"/>
        </w:rPr>
        <w:t xml:space="preserve"> (93%)</w:t>
      </w:r>
      <w:r w:rsidRPr="00BF3CC7">
        <w:rPr>
          <w:rFonts w:ascii="Times New Roman" w:hAnsi="Times New Roman" w:cs="Times New Roman"/>
          <w:sz w:val="24"/>
          <w:szCs w:val="24"/>
        </w:rPr>
        <w:t xml:space="preserve"> yang sesuai terapinya de</w:t>
      </w:r>
      <w:bookmarkStart w:id="11" w:name="_GoBack"/>
      <w:bookmarkEnd w:id="11"/>
      <w:r w:rsidRPr="00BF3CC7">
        <w:rPr>
          <w:rFonts w:ascii="Times New Roman" w:hAnsi="Times New Roman" w:cs="Times New Roman"/>
          <w:sz w:val="24"/>
          <w:szCs w:val="24"/>
        </w:rPr>
        <w:t xml:space="preserve">ngan pedoman dan </w:t>
      </w:r>
      <w:r w:rsidRPr="00BF3CC7">
        <w:rPr>
          <w:rFonts w:ascii="Times New Roman" w:hAnsi="Times New Roman" w:cs="Times New Roman"/>
          <w:sz w:val="24"/>
          <w:szCs w:val="24"/>
        </w:rPr>
        <w:t>sebanyak 3 pasien</w:t>
      </w:r>
      <w:r>
        <w:rPr>
          <w:rFonts w:ascii="Times New Roman" w:hAnsi="Times New Roman" w:cs="Times New Roman"/>
          <w:sz w:val="24"/>
          <w:szCs w:val="24"/>
        </w:rPr>
        <w:t xml:space="preserve"> (</w:t>
      </w:r>
      <w:r w:rsidR="00165B1B">
        <w:rPr>
          <w:rFonts w:ascii="Times New Roman" w:hAnsi="Times New Roman" w:cs="Times New Roman"/>
          <w:sz w:val="24"/>
          <w:szCs w:val="24"/>
        </w:rPr>
        <w:t>7</w:t>
      </w:r>
      <w:r>
        <w:rPr>
          <w:rFonts w:ascii="Times New Roman" w:hAnsi="Times New Roman" w:cs="Times New Roman"/>
          <w:sz w:val="24"/>
          <w:szCs w:val="24"/>
        </w:rPr>
        <w:t>%)</w:t>
      </w:r>
      <w:r w:rsidRPr="00BF3CC7">
        <w:rPr>
          <w:rFonts w:ascii="Times New Roman" w:hAnsi="Times New Roman" w:cs="Times New Roman"/>
          <w:sz w:val="24"/>
          <w:szCs w:val="24"/>
        </w:rPr>
        <w:t xml:space="preserve"> yang tidak sesuai dengan pedoman.</w:t>
      </w:r>
      <w:r>
        <w:rPr>
          <w:rFonts w:ascii="Times New Roman" w:hAnsi="Times New Roman" w:cs="Times New Roman"/>
          <w:sz w:val="24"/>
          <w:szCs w:val="24"/>
        </w:rPr>
        <w:t xml:space="preserve"> Berdasarkan uji </w:t>
      </w:r>
      <w:r w:rsidR="00165B1B">
        <w:rPr>
          <w:rFonts w:ascii="Times New Roman" w:hAnsi="Times New Roman" w:cs="Times New Roman"/>
          <w:i/>
          <w:szCs w:val="24"/>
        </w:rPr>
        <w:t>L</w:t>
      </w:r>
      <w:r w:rsidR="00165B1B" w:rsidRPr="00165B1B">
        <w:rPr>
          <w:rFonts w:ascii="Times New Roman" w:hAnsi="Times New Roman" w:cs="Times New Roman"/>
          <w:i/>
          <w:szCs w:val="24"/>
        </w:rPr>
        <w:t>ikelihood ratio</w:t>
      </w:r>
      <w:r>
        <w:rPr>
          <w:rFonts w:ascii="Times New Roman" w:hAnsi="Times New Roman" w:cs="Times New Roman"/>
          <w:sz w:val="24"/>
          <w:szCs w:val="24"/>
        </w:rPr>
        <w:t xml:space="preserve"> menunjukkan tidak </w:t>
      </w:r>
      <w:r w:rsidRPr="00BF3CC7">
        <w:rPr>
          <w:rFonts w:ascii="Times New Roman" w:hAnsi="Times New Roman" w:cs="Times New Roman"/>
          <w:sz w:val="24"/>
          <w:szCs w:val="24"/>
        </w:rPr>
        <w:t xml:space="preserve">terdapat hubungan yang signifikan antara kesesuaian penggunaan antibiotik empirik dengan </w:t>
      </w:r>
      <w:r w:rsidRPr="003D3765">
        <w:rPr>
          <w:rFonts w:ascii="Times New Roman" w:hAnsi="Times New Roman" w:cs="Times New Roman"/>
          <w:i/>
          <w:sz w:val="24"/>
          <w:szCs w:val="24"/>
        </w:rPr>
        <w:t>outcome</w:t>
      </w:r>
      <w:r w:rsidRPr="00BF3CC7">
        <w:rPr>
          <w:rFonts w:ascii="Times New Roman" w:hAnsi="Times New Roman" w:cs="Times New Roman"/>
          <w:sz w:val="24"/>
          <w:szCs w:val="24"/>
        </w:rPr>
        <w:t xml:space="preserve"> klinik pada pasien ISPA </w:t>
      </w:r>
      <w:r>
        <w:rPr>
          <w:rFonts w:ascii="Times New Roman" w:hAnsi="Times New Roman" w:cs="Times New Roman"/>
          <w:sz w:val="24"/>
          <w:szCs w:val="24"/>
        </w:rPr>
        <w:t>dengan nilai p=0,</w:t>
      </w:r>
      <w:r w:rsidR="00165B1B">
        <w:rPr>
          <w:rFonts w:ascii="Times New Roman" w:hAnsi="Times New Roman" w:cs="Times New Roman"/>
          <w:sz w:val="24"/>
          <w:szCs w:val="24"/>
        </w:rPr>
        <w:t>152</w:t>
      </w:r>
      <w:r w:rsidRPr="00CA2D72">
        <w:rPr>
          <w:rFonts w:ascii="Times New Roman" w:hAnsi="Times New Roman" w:cs="Times New Roman"/>
          <w:sz w:val="24"/>
        </w:rPr>
        <w:t>.</w:t>
      </w:r>
    </w:p>
    <w:p w14:paraId="4C01CD9F" w14:textId="77777777" w:rsidR="00DA74AC" w:rsidRDefault="00DA74AC" w:rsidP="00CA2D72">
      <w:pPr>
        <w:spacing w:line="240" w:lineRule="auto"/>
        <w:jc w:val="both"/>
        <w:rPr>
          <w:rFonts w:ascii="Times New Roman" w:hAnsi="Times New Roman" w:cs="Times New Roman"/>
          <w:b/>
          <w:sz w:val="24"/>
        </w:rPr>
        <w:sectPr w:rsidR="00DA74AC" w:rsidSect="00DA74AC">
          <w:type w:val="continuous"/>
          <w:pgSz w:w="11907" w:h="16839" w:code="9"/>
          <w:pgMar w:top="1440" w:right="1440" w:bottom="1440" w:left="1440" w:header="720" w:footer="720" w:gutter="0"/>
          <w:cols w:num="2" w:space="283"/>
          <w:docGrid w:linePitch="360"/>
        </w:sectPr>
      </w:pPr>
    </w:p>
    <w:p w14:paraId="20DDBF3A" w14:textId="77777777" w:rsidR="00DA74AC" w:rsidRDefault="00DA74AC" w:rsidP="00CA2D72">
      <w:pPr>
        <w:spacing w:line="240" w:lineRule="auto"/>
        <w:jc w:val="both"/>
        <w:rPr>
          <w:rFonts w:ascii="Times New Roman" w:hAnsi="Times New Roman" w:cs="Times New Roman"/>
          <w:b/>
          <w:sz w:val="24"/>
        </w:rPr>
      </w:pPr>
    </w:p>
    <w:p w14:paraId="3EFEB609" w14:textId="1A82A417" w:rsidR="00CA2D72" w:rsidRDefault="00CA2D72" w:rsidP="00CA2D72">
      <w:pPr>
        <w:spacing w:line="240" w:lineRule="auto"/>
        <w:jc w:val="both"/>
        <w:rPr>
          <w:rFonts w:ascii="Times New Roman" w:hAnsi="Times New Roman" w:cs="Times New Roman"/>
          <w:b/>
          <w:sz w:val="24"/>
        </w:rPr>
      </w:pPr>
      <w:r w:rsidRPr="00CA2D72">
        <w:rPr>
          <w:rFonts w:ascii="Times New Roman" w:hAnsi="Times New Roman" w:cs="Times New Roman"/>
          <w:b/>
          <w:sz w:val="24"/>
        </w:rPr>
        <w:t>DAFTAR PUSTAKA</w:t>
      </w:r>
    </w:p>
    <w:p w14:paraId="28D67E3E" w14:textId="77777777" w:rsidR="00DA74AC" w:rsidRDefault="00DA74AC" w:rsidP="00175059">
      <w:pPr>
        <w:spacing w:after="0" w:line="240" w:lineRule="auto"/>
        <w:ind w:left="567" w:hanging="567"/>
        <w:jc w:val="both"/>
        <w:rPr>
          <w:rFonts w:ascii="Times New Roman" w:hAnsi="Times New Roman" w:cs="Times New Roman"/>
          <w:sz w:val="20"/>
        </w:rPr>
        <w:sectPr w:rsidR="00DA74AC" w:rsidSect="0076199B">
          <w:type w:val="continuous"/>
          <w:pgSz w:w="11907" w:h="16839" w:code="9"/>
          <w:pgMar w:top="1440" w:right="1440" w:bottom="1440" w:left="1440" w:header="720" w:footer="720" w:gutter="0"/>
          <w:cols w:space="720"/>
          <w:docGrid w:linePitch="360"/>
        </w:sectPr>
      </w:pPr>
    </w:p>
    <w:p w14:paraId="2F1D181D" w14:textId="75FDE8BC"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Bhuyan, G.S., Hossain, M.A., Sarker, S.K., Rahat, A., Islam, M.T., Haque, T.N., </w:t>
      </w:r>
      <w:r w:rsidRPr="00DA74AC">
        <w:rPr>
          <w:rFonts w:ascii="Times New Roman" w:hAnsi="Times New Roman" w:cs="Times New Roman"/>
          <w:sz w:val="24"/>
        </w:rPr>
        <w:t xml:space="preserve">dkk., 2017. Bacterial and viral pathogen spectra of acute respiratory </w:t>
      </w:r>
      <w:r w:rsidRPr="00DA74AC">
        <w:rPr>
          <w:rFonts w:ascii="Times New Roman" w:hAnsi="Times New Roman" w:cs="Times New Roman"/>
          <w:sz w:val="24"/>
        </w:rPr>
        <w:lastRenderedPageBreak/>
        <w:t xml:space="preserve">infections in under-5 children in hospital settings in Dhaka city. </w:t>
      </w:r>
      <w:r w:rsidRPr="00DA74AC">
        <w:rPr>
          <w:rFonts w:ascii="Times New Roman" w:hAnsi="Times New Roman" w:cs="Times New Roman"/>
          <w:i/>
          <w:iCs/>
          <w:sz w:val="24"/>
        </w:rPr>
        <w:t>PLoS ONE</w:t>
      </w:r>
      <w:r w:rsidRPr="00DA74AC">
        <w:rPr>
          <w:rFonts w:ascii="Times New Roman" w:hAnsi="Times New Roman" w:cs="Times New Roman"/>
          <w:sz w:val="24"/>
        </w:rPr>
        <w:t>.</w:t>
      </w:r>
    </w:p>
    <w:p w14:paraId="0A32EF40"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Bosch A, Biesbroek G, Trzcinski K, Sanders E, and Bogaert D. 2013. Viral and Bacterial Interactions in the Upper Respiratory Tract. </w:t>
      </w:r>
      <w:r w:rsidRPr="00DA74AC">
        <w:rPr>
          <w:rFonts w:ascii="Times New Roman" w:hAnsi="Times New Roman" w:cs="Times New Roman"/>
          <w:i/>
          <w:sz w:val="24"/>
        </w:rPr>
        <w:t>PLoS Pathog</w:t>
      </w:r>
      <w:r w:rsidRPr="00DA74AC">
        <w:rPr>
          <w:rFonts w:ascii="Times New Roman" w:hAnsi="Times New Roman" w:cs="Times New Roman"/>
          <w:sz w:val="24"/>
        </w:rPr>
        <w:t>, 9: e1003057.</w:t>
      </w:r>
    </w:p>
    <w:p w14:paraId="5F110E24"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Chen Y, Williams E, Kirk M. 2014. Risk Factors for Acute Respiratory Infection in the Australian Community. </w:t>
      </w:r>
      <w:r w:rsidRPr="00DA74AC">
        <w:rPr>
          <w:rFonts w:ascii="Times New Roman" w:hAnsi="Times New Roman" w:cs="Times New Roman"/>
          <w:i/>
          <w:sz w:val="24"/>
        </w:rPr>
        <w:t>PLOS ONE</w:t>
      </w:r>
      <w:r w:rsidRPr="00DA74AC">
        <w:rPr>
          <w:rFonts w:ascii="Times New Roman" w:hAnsi="Times New Roman" w:cs="Times New Roman"/>
          <w:sz w:val="24"/>
        </w:rPr>
        <w:t>; Volume 9, Issue 7, e101440.</w:t>
      </w:r>
    </w:p>
    <w:p w14:paraId="2C585525"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CLSI. 2014. Analysis and Presentation of Cumulative Antimicrobial Susceptibility Test Data; Approved Guideline—</w:t>
      </w:r>
      <w:r w:rsidRPr="00DA74AC">
        <w:rPr>
          <w:rFonts w:ascii="Times New Roman" w:hAnsi="Times New Roman" w:cs="Times New Roman"/>
          <w:i/>
          <w:sz w:val="24"/>
        </w:rPr>
        <w:t>Fourth Edition</w:t>
      </w:r>
      <w:r w:rsidRPr="00DA74AC">
        <w:rPr>
          <w:rFonts w:ascii="Times New Roman" w:hAnsi="Times New Roman" w:cs="Times New Roman"/>
          <w:sz w:val="24"/>
        </w:rPr>
        <w:t>. CLSI document M39-A4. Wayne, PA: Clinical and Laboratory Standards Institute.</w:t>
      </w:r>
    </w:p>
    <w:p w14:paraId="53C72CA7"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Esposito EP, Cervoni M, Bernardo M, Crivaro V, Cuccurullo S, Imperi F, Zarrilli R. 2018. Molecular Epidemiology and Virulence Profiles of Colistin-Resistant Klebsiella pneumoniae Blood Isolates from the Hospital Agency "Ospedale dei Colli," Naples, Italy. </w:t>
      </w:r>
      <w:r w:rsidRPr="00DA74AC">
        <w:rPr>
          <w:rFonts w:ascii="Times New Roman" w:hAnsi="Times New Roman" w:cs="Times New Roman"/>
          <w:i/>
          <w:sz w:val="24"/>
        </w:rPr>
        <w:t>Front Microbiol</w:t>
      </w:r>
      <w:r w:rsidRPr="00DA74AC">
        <w:rPr>
          <w:rFonts w:ascii="Times New Roman" w:hAnsi="Times New Roman" w:cs="Times New Roman"/>
          <w:sz w:val="24"/>
        </w:rPr>
        <w:t>; 9: 1463.</w:t>
      </w:r>
    </w:p>
    <w:p w14:paraId="1B08F60F"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Falagas ME, Mourtzoukoua EG, dan Vardakas KZ. 2007. Sex differences in the incidence and severity of respiratory tract infections. </w:t>
      </w:r>
      <w:r w:rsidRPr="00DA74AC">
        <w:rPr>
          <w:rFonts w:ascii="Times New Roman" w:hAnsi="Times New Roman" w:cs="Times New Roman"/>
          <w:i/>
          <w:sz w:val="24"/>
        </w:rPr>
        <w:t>Respiratory Medicine</w:t>
      </w:r>
      <w:r w:rsidRPr="00DA74AC">
        <w:rPr>
          <w:rFonts w:ascii="Times New Roman" w:hAnsi="Times New Roman" w:cs="Times New Roman"/>
          <w:sz w:val="24"/>
        </w:rPr>
        <w:t>; 101, 1845–1863.</w:t>
      </w:r>
    </w:p>
    <w:p w14:paraId="41D46CCC"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Farida H, Severin JA, Gasem MH, Keuter M, Broek P, Hermans PW, Wahyono H, Verbrugh HA. 2013. Nasopharyngeal Carriage of Klebsiella pneumoniae and Other GramNegative Bacilli in Pneumonia-Prone Age Groups in Semarang, Indonesia. </w:t>
      </w:r>
      <w:r w:rsidRPr="00DA74AC">
        <w:rPr>
          <w:rFonts w:ascii="Times New Roman" w:hAnsi="Times New Roman" w:cs="Times New Roman"/>
          <w:i/>
          <w:sz w:val="24"/>
        </w:rPr>
        <w:t>Journal of Clinical Microbiology</w:t>
      </w:r>
      <w:r w:rsidRPr="00DA74AC">
        <w:rPr>
          <w:rFonts w:ascii="Times New Roman" w:hAnsi="Times New Roman" w:cs="Times New Roman"/>
          <w:sz w:val="24"/>
        </w:rPr>
        <w:t xml:space="preserve"> p. 1614–1616. Volume 51 Number 5.</w:t>
      </w:r>
    </w:p>
    <w:p w14:paraId="0D5EB5AA"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Fleming-Dutra, K.E., Hersh, A.L., Shapiro, D.J., Bartoces, M., Enns, E.A., File, T.M., dkk., 2016. Prevalence of Inappropriate Antibiotic Prescriptions Among US Ambulatory </w:t>
      </w:r>
      <w:r w:rsidRPr="00DA74AC">
        <w:rPr>
          <w:rFonts w:ascii="Times New Roman" w:hAnsi="Times New Roman" w:cs="Times New Roman"/>
          <w:sz w:val="24"/>
        </w:rPr>
        <w:t xml:space="preserve">Care Visits, 2010-2011. </w:t>
      </w:r>
      <w:r w:rsidRPr="00DA74AC">
        <w:rPr>
          <w:rFonts w:ascii="Times New Roman" w:hAnsi="Times New Roman" w:cs="Times New Roman"/>
          <w:i/>
          <w:iCs/>
          <w:sz w:val="24"/>
        </w:rPr>
        <w:t>JAMA</w:t>
      </w:r>
      <w:r w:rsidRPr="00DA74AC">
        <w:rPr>
          <w:rFonts w:ascii="Times New Roman" w:hAnsi="Times New Roman" w:cs="Times New Roman"/>
          <w:sz w:val="24"/>
        </w:rPr>
        <w:t xml:space="preserve">, </w:t>
      </w:r>
      <w:r w:rsidRPr="00DA74AC">
        <w:rPr>
          <w:rFonts w:ascii="Times New Roman" w:hAnsi="Times New Roman" w:cs="Times New Roman"/>
          <w:b/>
          <w:bCs/>
          <w:sz w:val="24"/>
        </w:rPr>
        <w:t>315</w:t>
      </w:r>
      <w:r w:rsidRPr="00DA74AC">
        <w:rPr>
          <w:rFonts w:ascii="Times New Roman" w:hAnsi="Times New Roman" w:cs="Times New Roman"/>
          <w:sz w:val="24"/>
        </w:rPr>
        <w:t>: 1864–1873.</w:t>
      </w:r>
    </w:p>
    <w:p w14:paraId="056BEF49"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Haryani Y, Noorzaleha AS, Fatimah AB, Noorjahan BA, Patrick GB, Shamsinar AT, Laila RAS, Son R. 2007. Incidence of Klebsiella pneumonia in street foods sold in Malaysia and their characterization by antibiotic resistance, plasmid profiling, and RAPD–PCR analysis. </w:t>
      </w:r>
      <w:r w:rsidRPr="00DA74AC">
        <w:rPr>
          <w:rFonts w:ascii="Times New Roman" w:hAnsi="Times New Roman" w:cs="Times New Roman"/>
          <w:i/>
          <w:sz w:val="24"/>
        </w:rPr>
        <w:t>Food Control</w:t>
      </w:r>
      <w:r w:rsidRPr="00DA74AC">
        <w:rPr>
          <w:rFonts w:ascii="Times New Roman" w:hAnsi="Times New Roman" w:cs="Times New Roman"/>
          <w:sz w:val="24"/>
        </w:rPr>
        <w:t xml:space="preserve"> 18: 847–853.</w:t>
      </w:r>
    </w:p>
    <w:p w14:paraId="18C783A9"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Hicks LA, Chien YW, Taylor TH Jr, Haber M, Klugman KP. 2011. Active Bacterial Core Surveillance (ABCs) Team. Outpatient antibiotic prescribing and nonsusceptible Streptococcus ρneumoniae in the United States, 1996–2003. </w:t>
      </w:r>
      <w:r w:rsidRPr="00DA74AC">
        <w:rPr>
          <w:rFonts w:ascii="Times New Roman" w:hAnsi="Times New Roman" w:cs="Times New Roman"/>
          <w:i/>
          <w:sz w:val="24"/>
        </w:rPr>
        <w:t xml:space="preserve">Clin Infect </w:t>
      </w:r>
      <w:proofErr w:type="gramStart"/>
      <w:r w:rsidRPr="00DA74AC">
        <w:rPr>
          <w:rFonts w:ascii="Times New Roman" w:hAnsi="Times New Roman" w:cs="Times New Roman"/>
          <w:i/>
          <w:sz w:val="24"/>
        </w:rPr>
        <w:t>Dis</w:t>
      </w:r>
      <w:r w:rsidRPr="00DA74AC">
        <w:rPr>
          <w:rFonts w:ascii="Times New Roman" w:hAnsi="Times New Roman" w:cs="Times New Roman"/>
          <w:sz w:val="24"/>
        </w:rPr>
        <w:t>;53:631</w:t>
      </w:r>
      <w:proofErr w:type="gramEnd"/>
      <w:r w:rsidRPr="00DA74AC">
        <w:rPr>
          <w:rFonts w:ascii="Times New Roman" w:hAnsi="Times New Roman" w:cs="Times New Roman"/>
          <w:sz w:val="24"/>
        </w:rPr>
        <w:t>-9.</w:t>
      </w:r>
    </w:p>
    <w:p w14:paraId="3912B074"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Ikatan Dokter Indonesia. 2017. Panduan Praktik Klinis Bagi Dokter di Fasailitas Pelayanan Kesehatan Tingkat Pertama. Edisi 1; Cetakan kedua.</w:t>
      </w:r>
    </w:p>
    <w:p w14:paraId="1D08259D"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Joshi, S., 2010. Hospital antibiogram: a necessity. </w:t>
      </w:r>
      <w:r w:rsidRPr="00DA74AC">
        <w:rPr>
          <w:rFonts w:ascii="Times New Roman" w:hAnsi="Times New Roman" w:cs="Times New Roman"/>
          <w:i/>
          <w:iCs/>
          <w:sz w:val="24"/>
        </w:rPr>
        <w:t>Indian Journal of Medical Microbiology</w:t>
      </w:r>
      <w:r w:rsidRPr="00DA74AC">
        <w:rPr>
          <w:rFonts w:ascii="Times New Roman" w:hAnsi="Times New Roman" w:cs="Times New Roman"/>
          <w:sz w:val="24"/>
        </w:rPr>
        <w:t xml:space="preserve">, </w:t>
      </w:r>
      <w:r w:rsidRPr="00DA74AC">
        <w:rPr>
          <w:rFonts w:ascii="Times New Roman" w:hAnsi="Times New Roman" w:cs="Times New Roman"/>
          <w:b/>
          <w:bCs/>
          <w:sz w:val="24"/>
        </w:rPr>
        <w:t>28</w:t>
      </w:r>
      <w:r w:rsidRPr="00DA74AC">
        <w:rPr>
          <w:rFonts w:ascii="Times New Roman" w:hAnsi="Times New Roman" w:cs="Times New Roman"/>
          <w:sz w:val="24"/>
        </w:rPr>
        <w:t>: 277–280.</w:t>
      </w:r>
    </w:p>
    <w:p w14:paraId="5C97B8D9"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Kang CI, Kim SH, Bang JW, Kim HB, Kim NJ, Kim EC, Oh MD, Choe KW. 2006. Community-acquired versus nosocomial Klebsiella ρneumoniae bacteremia: clinical features, treatment outcomes, and clinical implication of antimicrobial resistance. </w:t>
      </w:r>
      <w:r w:rsidRPr="00DA74AC">
        <w:rPr>
          <w:rFonts w:ascii="Times New Roman" w:hAnsi="Times New Roman" w:cs="Times New Roman"/>
          <w:i/>
          <w:sz w:val="24"/>
        </w:rPr>
        <w:t>J Korean Med Sci</w:t>
      </w:r>
      <w:r w:rsidRPr="00DA74AC">
        <w:rPr>
          <w:rFonts w:ascii="Times New Roman" w:hAnsi="Times New Roman" w:cs="Times New Roman"/>
          <w:sz w:val="24"/>
        </w:rPr>
        <w:t>, 21(5):816-822.</w:t>
      </w:r>
    </w:p>
    <w:p w14:paraId="439B3B3E"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Kemenkes. 2015. Program Pengendalian Resistensi Antimikroba Di Rumah Sakit. PERATURAN MENTERI KESEHATAN REPUBLIK INDONESIA NOMOR 8.</w:t>
      </w:r>
    </w:p>
    <w:p w14:paraId="353C8E45"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Klein SL. 2000. The effects of hormones on sex differences in infection: from genes to behavior. </w:t>
      </w:r>
      <w:r w:rsidRPr="00DA74AC">
        <w:rPr>
          <w:rFonts w:ascii="Times New Roman" w:hAnsi="Times New Roman" w:cs="Times New Roman"/>
          <w:i/>
          <w:sz w:val="24"/>
        </w:rPr>
        <w:t xml:space="preserve">Neurosci Biobehav Rev, </w:t>
      </w:r>
      <w:r w:rsidRPr="00DA74AC">
        <w:rPr>
          <w:rFonts w:ascii="Times New Roman" w:hAnsi="Times New Roman" w:cs="Times New Roman"/>
          <w:sz w:val="24"/>
        </w:rPr>
        <w:t>24(6):627–38.</w:t>
      </w:r>
    </w:p>
    <w:p w14:paraId="6F2AB140"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Kousalya K, Thirumurugu S, Arumainayagam DC, Manavalan </w:t>
      </w:r>
      <w:proofErr w:type="gramStart"/>
      <w:r w:rsidRPr="00DA74AC">
        <w:rPr>
          <w:rFonts w:ascii="Times New Roman" w:hAnsi="Times New Roman" w:cs="Times New Roman"/>
          <w:sz w:val="24"/>
        </w:rPr>
        <w:t>R,Vasantha</w:t>
      </w:r>
      <w:proofErr w:type="gramEnd"/>
      <w:r w:rsidRPr="00DA74AC">
        <w:rPr>
          <w:rFonts w:ascii="Times New Roman" w:hAnsi="Times New Roman" w:cs="Times New Roman"/>
          <w:sz w:val="24"/>
        </w:rPr>
        <w:t xml:space="preserve"> J,dan Reddy CU. 2010. Antimicrobial Resistance of Bacterial Agents of The Upper Respiratory </w:t>
      </w:r>
      <w:r w:rsidRPr="00DA74AC">
        <w:rPr>
          <w:rFonts w:ascii="Times New Roman" w:hAnsi="Times New Roman" w:cs="Times New Roman"/>
          <w:sz w:val="24"/>
        </w:rPr>
        <w:lastRenderedPageBreak/>
        <w:t xml:space="preserve">Tract in South Indian Population. </w:t>
      </w:r>
      <w:r w:rsidRPr="00DA74AC">
        <w:rPr>
          <w:rFonts w:ascii="Times New Roman" w:hAnsi="Times New Roman" w:cs="Times New Roman"/>
          <w:i/>
          <w:sz w:val="24"/>
        </w:rPr>
        <w:t>J Adv Pharm Technol Res</w:t>
      </w:r>
      <w:r w:rsidRPr="00DA74AC">
        <w:rPr>
          <w:rFonts w:ascii="Times New Roman" w:hAnsi="Times New Roman" w:cs="Times New Roman"/>
          <w:sz w:val="24"/>
        </w:rPr>
        <w:t>; 1(2): 207–215.</w:t>
      </w:r>
    </w:p>
    <w:p w14:paraId="53DEC954"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MacGowan, A. dan Macnaughton, E., 2017. Antibiotic Resistance. </w:t>
      </w:r>
      <w:r w:rsidRPr="00DA74AC">
        <w:rPr>
          <w:rFonts w:ascii="Times New Roman" w:hAnsi="Times New Roman" w:cs="Times New Roman"/>
          <w:i/>
          <w:iCs/>
          <w:sz w:val="24"/>
        </w:rPr>
        <w:t>Medicine</w:t>
      </w:r>
      <w:r w:rsidRPr="00DA74AC">
        <w:rPr>
          <w:rFonts w:ascii="Times New Roman" w:hAnsi="Times New Roman" w:cs="Times New Roman"/>
          <w:sz w:val="24"/>
        </w:rPr>
        <w:t xml:space="preserve">, </w:t>
      </w:r>
      <w:r w:rsidRPr="00DA74AC">
        <w:rPr>
          <w:rFonts w:ascii="Times New Roman" w:hAnsi="Times New Roman" w:cs="Times New Roman"/>
          <w:b/>
          <w:bCs/>
          <w:sz w:val="24"/>
        </w:rPr>
        <w:t>45</w:t>
      </w:r>
      <w:r w:rsidRPr="00DA74AC">
        <w:rPr>
          <w:rFonts w:ascii="Times New Roman" w:hAnsi="Times New Roman" w:cs="Times New Roman"/>
          <w:sz w:val="24"/>
        </w:rPr>
        <w:t>: 622–628.</w:t>
      </w:r>
    </w:p>
    <w:p w14:paraId="24DE76B5"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McCullough, A.R., Pollack, A.J., Plejdrup Hansen, M., Glasziou, P.P., Looke, D.F., Britt, H.C., dkk., 2017. Antibiotics for acute respiratory infections in general practice: comparison of prescribing rates with guideline recommendations. </w:t>
      </w:r>
      <w:r w:rsidRPr="00DA74AC">
        <w:rPr>
          <w:rFonts w:ascii="Times New Roman" w:hAnsi="Times New Roman" w:cs="Times New Roman"/>
          <w:i/>
          <w:iCs/>
          <w:sz w:val="24"/>
        </w:rPr>
        <w:t>The Medical Journal of Australia</w:t>
      </w:r>
      <w:r w:rsidRPr="00DA74AC">
        <w:rPr>
          <w:rFonts w:ascii="Times New Roman" w:hAnsi="Times New Roman" w:cs="Times New Roman"/>
          <w:sz w:val="24"/>
        </w:rPr>
        <w:t xml:space="preserve">, </w:t>
      </w:r>
      <w:r w:rsidRPr="00DA74AC">
        <w:rPr>
          <w:rFonts w:ascii="Times New Roman" w:hAnsi="Times New Roman" w:cs="Times New Roman"/>
          <w:b/>
          <w:bCs/>
          <w:sz w:val="24"/>
        </w:rPr>
        <w:t>207</w:t>
      </w:r>
      <w:r w:rsidRPr="00DA74AC">
        <w:rPr>
          <w:rFonts w:ascii="Times New Roman" w:hAnsi="Times New Roman" w:cs="Times New Roman"/>
          <w:sz w:val="24"/>
        </w:rPr>
        <w:t>: 65–69.</w:t>
      </w:r>
    </w:p>
    <w:p w14:paraId="057CB368"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Parm U, Metsvaht T, Sepp E, Ilmoja M-L, Pisarev H, Pauskar M, Lutsar I. 2011. Risk factors associated with gut and nasopharyngeal colonization by common Gram-negative species and yeasts in neonatal intensive care </w:t>
      </w:r>
      <w:proofErr w:type="gramStart"/>
      <w:r w:rsidRPr="00DA74AC">
        <w:rPr>
          <w:rFonts w:ascii="Times New Roman" w:hAnsi="Times New Roman" w:cs="Times New Roman"/>
          <w:sz w:val="24"/>
        </w:rPr>
        <w:t>units</w:t>
      </w:r>
      <w:proofErr w:type="gramEnd"/>
      <w:r w:rsidRPr="00DA74AC">
        <w:rPr>
          <w:rFonts w:ascii="Times New Roman" w:hAnsi="Times New Roman" w:cs="Times New Roman"/>
          <w:sz w:val="24"/>
        </w:rPr>
        <w:t xml:space="preserve"> patients. </w:t>
      </w:r>
      <w:r w:rsidRPr="00DA74AC">
        <w:rPr>
          <w:rFonts w:ascii="Times New Roman" w:hAnsi="Times New Roman" w:cs="Times New Roman"/>
          <w:i/>
          <w:sz w:val="24"/>
        </w:rPr>
        <w:t>Early Hum Dev</w:t>
      </w:r>
      <w:r w:rsidRPr="00DA74AC">
        <w:rPr>
          <w:rFonts w:ascii="Times New Roman" w:hAnsi="Times New Roman" w:cs="Times New Roman"/>
          <w:sz w:val="24"/>
        </w:rPr>
        <w:t>. 87:391–399.</w:t>
      </w:r>
    </w:p>
    <w:p w14:paraId="1BFB525C"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Pettigrew MM, Gent JF, Revai K, Patel JA, dan Chonmaitree T. 2008. Microbial Interactions during Upper Respiratory Tract Infections. </w:t>
      </w:r>
      <w:r w:rsidRPr="00DA74AC">
        <w:rPr>
          <w:rFonts w:ascii="Times New Roman" w:hAnsi="Times New Roman" w:cs="Times New Roman"/>
          <w:i/>
          <w:sz w:val="24"/>
        </w:rPr>
        <w:t>Emerging Infectious Diseases</w:t>
      </w:r>
      <w:r w:rsidRPr="00DA74AC">
        <w:rPr>
          <w:rFonts w:ascii="Times New Roman" w:hAnsi="Times New Roman" w:cs="Times New Roman"/>
          <w:sz w:val="24"/>
        </w:rPr>
        <w:t>; Vol. 14, No. 10.</w:t>
      </w:r>
    </w:p>
    <w:p w14:paraId="13934208"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Reichert VC, Seltzer V, Efferen LS, Kohn N. 2004. Women and tobacco dependence. </w:t>
      </w:r>
      <w:r w:rsidRPr="00DA74AC">
        <w:rPr>
          <w:rFonts w:ascii="Times New Roman" w:hAnsi="Times New Roman" w:cs="Times New Roman"/>
          <w:i/>
          <w:sz w:val="24"/>
        </w:rPr>
        <w:t>Med Clin North Am</w:t>
      </w:r>
      <w:r w:rsidRPr="00DA74AC">
        <w:rPr>
          <w:rFonts w:ascii="Times New Roman" w:hAnsi="Times New Roman" w:cs="Times New Roman"/>
          <w:sz w:val="24"/>
        </w:rPr>
        <w:t>, 88:1467–81.</w:t>
      </w:r>
    </w:p>
    <w:p w14:paraId="1358DFA3" w14:textId="77777777" w:rsidR="00175059" w:rsidRPr="00DA74AC" w:rsidRDefault="00175059" w:rsidP="00175059">
      <w:pPr>
        <w:spacing w:after="0" w:line="240" w:lineRule="auto"/>
        <w:ind w:left="567" w:hanging="567"/>
        <w:jc w:val="both"/>
        <w:rPr>
          <w:rFonts w:ascii="Times New Roman" w:eastAsia="Times New Roman" w:hAnsi="Times New Roman" w:cs="Times New Roman"/>
          <w:sz w:val="24"/>
        </w:rPr>
      </w:pPr>
      <w:r w:rsidRPr="00DA74AC">
        <w:rPr>
          <w:rFonts w:ascii="Times New Roman" w:eastAsia="Times New Roman" w:hAnsi="Times New Roman" w:cs="Times New Roman"/>
          <w:sz w:val="24"/>
        </w:rPr>
        <w:t>Riskesdas. 2013. Prevalensi ISPA, Pneumonia, Tb Dan Campak. Jakarta: Departemen Kesehatan RI.</w:t>
      </w:r>
    </w:p>
    <w:p w14:paraId="53882291"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Rodrigo‐Troyano A dan Sibila O. 2017. The respiratory threat posed by multidrug resistant Gram‐negative bacteria. </w:t>
      </w:r>
      <w:r w:rsidRPr="00DA74AC">
        <w:rPr>
          <w:rFonts w:ascii="Times New Roman" w:hAnsi="Times New Roman" w:cs="Times New Roman"/>
          <w:i/>
          <w:sz w:val="24"/>
        </w:rPr>
        <w:t>Respirology</w:t>
      </w:r>
      <w:r w:rsidRPr="00DA74AC">
        <w:rPr>
          <w:rFonts w:ascii="Times New Roman" w:hAnsi="Times New Roman" w:cs="Times New Roman"/>
          <w:sz w:val="24"/>
        </w:rPr>
        <w:t>, 22, 1288–1299.</w:t>
      </w:r>
    </w:p>
    <w:p w14:paraId="28A2F0EA"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Santos</w:t>
      </w:r>
      <w:r w:rsidRPr="00DA74AC">
        <w:rPr>
          <w:rFonts w:ascii="Cambria Math" w:hAnsi="Cambria Math" w:cs="Cambria Math"/>
          <w:sz w:val="24"/>
        </w:rPr>
        <w:t xml:space="preserve"> HDP</w:t>
      </w:r>
      <w:r w:rsidRPr="00DA74AC">
        <w:rPr>
          <w:rFonts w:ascii="Times New Roman" w:hAnsi="Times New Roman" w:cs="Times New Roman"/>
          <w:sz w:val="24"/>
        </w:rPr>
        <w:t>, Ulbrich AH, Woloszyn V and Vieira R. 2018. An initial investigation of the Charlson comorbidity index regression based on clinical notes. International Symposium on Computer-Based Medical Systems.</w:t>
      </w:r>
    </w:p>
    <w:p w14:paraId="0E010B7D"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Spurling, G.K., Del Mar, C.B., Dooley, L., Foxlee, R., dan Farley, R., 2017. </w:t>
      </w:r>
      <w:r w:rsidRPr="00DA74AC">
        <w:rPr>
          <w:rFonts w:ascii="Times New Roman" w:hAnsi="Times New Roman" w:cs="Times New Roman"/>
          <w:sz w:val="24"/>
        </w:rPr>
        <w:t xml:space="preserve">Delayed antibiotic prescriptions for respiratory infections. </w:t>
      </w:r>
      <w:r w:rsidRPr="00DA74AC">
        <w:rPr>
          <w:rFonts w:ascii="Times New Roman" w:hAnsi="Times New Roman" w:cs="Times New Roman"/>
          <w:i/>
          <w:iCs/>
          <w:sz w:val="24"/>
        </w:rPr>
        <w:t>The Cochrane Database of Systematic Reviews</w:t>
      </w:r>
      <w:r w:rsidRPr="00DA74AC">
        <w:rPr>
          <w:rFonts w:ascii="Times New Roman" w:hAnsi="Times New Roman" w:cs="Times New Roman"/>
          <w:sz w:val="24"/>
        </w:rPr>
        <w:t xml:space="preserve">, </w:t>
      </w:r>
      <w:r w:rsidRPr="00DA74AC">
        <w:rPr>
          <w:rFonts w:ascii="Times New Roman" w:hAnsi="Times New Roman" w:cs="Times New Roman"/>
          <w:b/>
          <w:bCs/>
          <w:sz w:val="24"/>
        </w:rPr>
        <w:t>9</w:t>
      </w:r>
      <w:r w:rsidRPr="00DA74AC">
        <w:rPr>
          <w:rFonts w:ascii="Times New Roman" w:hAnsi="Times New Roman" w:cs="Times New Roman"/>
          <w:sz w:val="24"/>
        </w:rPr>
        <w:t>: CD004417.</w:t>
      </w:r>
    </w:p>
    <w:p w14:paraId="59228304"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Tamayo E, Montes M, Vicente D, Pérez-Trallero E. 2016. Streptococcus pyogenes Pneumonia in Adults: Clinical Presentation and Molecular Characterization of Isolates 2006-2015.</w:t>
      </w:r>
      <w:r w:rsidRPr="00DA74AC">
        <w:rPr>
          <w:sz w:val="24"/>
        </w:rPr>
        <w:t xml:space="preserve"> </w:t>
      </w:r>
      <w:r w:rsidRPr="00DA74AC">
        <w:rPr>
          <w:rFonts w:ascii="Times New Roman" w:hAnsi="Times New Roman" w:cs="Times New Roman"/>
          <w:i/>
          <w:sz w:val="24"/>
        </w:rPr>
        <w:t>PLOS ONE</w:t>
      </w:r>
      <w:r w:rsidRPr="00DA74AC">
        <w:rPr>
          <w:rFonts w:ascii="Times New Roman" w:hAnsi="Times New Roman" w:cs="Times New Roman"/>
          <w:sz w:val="24"/>
        </w:rPr>
        <w:t xml:space="preserve"> | </w:t>
      </w:r>
      <w:proofErr w:type="gramStart"/>
      <w:r w:rsidRPr="00DA74AC">
        <w:rPr>
          <w:rFonts w:ascii="Times New Roman" w:hAnsi="Times New Roman" w:cs="Times New Roman"/>
          <w:sz w:val="24"/>
        </w:rPr>
        <w:t>DOI:10.1371/journal.pone</w:t>
      </w:r>
      <w:proofErr w:type="gramEnd"/>
      <w:r w:rsidRPr="00DA74AC">
        <w:rPr>
          <w:rFonts w:ascii="Times New Roman" w:hAnsi="Times New Roman" w:cs="Times New Roman"/>
          <w:sz w:val="24"/>
        </w:rPr>
        <w:t>.0152640.</w:t>
      </w:r>
    </w:p>
    <w:p w14:paraId="1C090AAB"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Theobald S, Tolhurst R, Squire SB. 2006. Gender, equity: new approaches for effective management of communicable diseases. </w:t>
      </w:r>
      <w:r w:rsidRPr="00DA74AC">
        <w:rPr>
          <w:rFonts w:ascii="Times New Roman" w:hAnsi="Times New Roman" w:cs="Times New Roman"/>
          <w:i/>
          <w:sz w:val="24"/>
        </w:rPr>
        <w:t>Trans R Soc Trop Med Hyg</w:t>
      </w:r>
      <w:r w:rsidRPr="00DA74AC">
        <w:rPr>
          <w:rFonts w:ascii="Times New Roman" w:hAnsi="Times New Roman" w:cs="Times New Roman"/>
          <w:sz w:val="24"/>
        </w:rPr>
        <w:t>, 100:299–304.</w:t>
      </w:r>
    </w:p>
    <w:p w14:paraId="21EB1046"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Tobat, S.R., Mukhtar, M.H., dan Pakpahan, I.H.D., 2015. Rasionalitas Penggunaan Antibiotika Pada Penyakit Ispa di Puskesmas Kuamang Kuning I Kabupaten Bungo </w:t>
      </w:r>
      <w:r w:rsidRPr="00DA74AC">
        <w:rPr>
          <w:rFonts w:ascii="Times New Roman" w:hAnsi="Times New Roman" w:cs="Times New Roman"/>
          <w:b/>
          <w:bCs/>
          <w:sz w:val="24"/>
        </w:rPr>
        <w:t>5</w:t>
      </w:r>
      <w:r w:rsidRPr="00DA74AC">
        <w:rPr>
          <w:rFonts w:ascii="Times New Roman" w:hAnsi="Times New Roman" w:cs="Times New Roman"/>
          <w:sz w:val="24"/>
        </w:rPr>
        <w:t>: 5.</w:t>
      </w:r>
    </w:p>
    <w:p w14:paraId="51DC1237"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Tomczyk S, John P. McCracken, Contreras CL, Lopez MR, Bernart C, Moir JC, Escobar K, Reyes L, Arvelo W, Lindblade K, Peruski L, Bryan JP dan JR. 2019. Factors associated with fatal cases of acute respiratory infection (ARI) among hospitalized patients in Guatemala. </w:t>
      </w:r>
      <w:r w:rsidRPr="00DA74AC">
        <w:rPr>
          <w:rFonts w:ascii="Times New Roman" w:hAnsi="Times New Roman" w:cs="Times New Roman"/>
          <w:i/>
          <w:sz w:val="24"/>
        </w:rPr>
        <w:t>BMC Public Health</w:t>
      </w:r>
      <w:r w:rsidRPr="00DA74AC">
        <w:rPr>
          <w:rFonts w:ascii="Times New Roman" w:hAnsi="Times New Roman" w:cs="Times New Roman"/>
          <w:sz w:val="24"/>
        </w:rPr>
        <w:t xml:space="preserve"> 19:499.</w:t>
      </w:r>
    </w:p>
    <w:p w14:paraId="02B39815"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Walter J, Haller S, Quinten C, Kärki T, Zacher B, Eckmanns T, Abu Sin M, Plachouras D, Kinross P, Suetens C, Ecdc Pps. 2018. Study Group Healthcare-associated pneumonia in acute care hospitals in European Union/European Economic Area countries: an analysis of data from a point prevalence survey, 2011 to 2012. </w:t>
      </w:r>
      <w:r w:rsidRPr="00DA74AC">
        <w:rPr>
          <w:rFonts w:ascii="Times New Roman" w:hAnsi="Times New Roman" w:cs="Times New Roman"/>
          <w:i/>
          <w:sz w:val="24"/>
        </w:rPr>
        <w:t>Euro Surveill</w:t>
      </w:r>
      <w:r w:rsidRPr="00DA74AC">
        <w:rPr>
          <w:rFonts w:ascii="Times New Roman" w:hAnsi="Times New Roman" w:cs="Times New Roman"/>
          <w:sz w:val="24"/>
        </w:rPr>
        <w:t>, 23(32).</w:t>
      </w:r>
    </w:p>
    <w:p w14:paraId="3EDE17C6" w14:textId="77777777" w:rsidR="00175059" w:rsidRPr="00DA74AC" w:rsidRDefault="00175059" w:rsidP="00175059">
      <w:pPr>
        <w:spacing w:after="0" w:line="240" w:lineRule="auto"/>
        <w:ind w:left="567" w:hanging="567"/>
        <w:jc w:val="both"/>
        <w:rPr>
          <w:rFonts w:ascii="Times New Roman" w:hAnsi="Times New Roman" w:cs="Times New Roman"/>
          <w:sz w:val="24"/>
        </w:rPr>
      </w:pPr>
      <w:r w:rsidRPr="00DA74AC">
        <w:rPr>
          <w:rFonts w:ascii="Times New Roman" w:hAnsi="Times New Roman" w:cs="Times New Roman"/>
          <w:sz w:val="24"/>
        </w:rPr>
        <w:t xml:space="preserve">Zurainaa NM, Sarimah A, Suharni M, Hasana H dan Suraiya S. 2018. High frequency of Haemophilus influenzae associated with respiratory tract infections among Malaysian Hajj pilgrims. </w:t>
      </w:r>
      <w:r w:rsidRPr="00DA74AC">
        <w:rPr>
          <w:rFonts w:ascii="Times New Roman" w:hAnsi="Times New Roman" w:cs="Times New Roman"/>
          <w:i/>
          <w:sz w:val="24"/>
        </w:rPr>
        <w:t>Journal of Infection and Public Health</w:t>
      </w:r>
      <w:r w:rsidRPr="00DA74AC">
        <w:rPr>
          <w:rFonts w:ascii="Times New Roman" w:hAnsi="Times New Roman" w:cs="Times New Roman"/>
          <w:sz w:val="24"/>
        </w:rPr>
        <w:t>. Volume 11, Issue 6 Pages 878-883.</w:t>
      </w:r>
      <w:bookmarkEnd w:id="1"/>
    </w:p>
    <w:sectPr w:rsidR="00175059" w:rsidRPr="00DA74AC" w:rsidSect="00DA74AC">
      <w:type w:val="continuous"/>
      <w:pgSz w:w="11907" w:h="16839"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F46"/>
    <w:multiLevelType w:val="hybridMultilevel"/>
    <w:tmpl w:val="3A0435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919512C"/>
    <w:multiLevelType w:val="hybridMultilevel"/>
    <w:tmpl w:val="848A0F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1E7C23"/>
    <w:multiLevelType w:val="hybridMultilevel"/>
    <w:tmpl w:val="E6FC18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10455F"/>
    <w:multiLevelType w:val="hybridMultilevel"/>
    <w:tmpl w:val="773011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7D35F22"/>
    <w:multiLevelType w:val="hybridMultilevel"/>
    <w:tmpl w:val="173A6BB8"/>
    <w:lvl w:ilvl="0" w:tplc="F572D34E">
      <w:start w:val="1"/>
      <w:numFmt w:val="decimal"/>
      <w:lvlText w:val="%1."/>
      <w:lvlJc w:val="left"/>
      <w:pPr>
        <w:ind w:left="377" w:hanging="360"/>
      </w:pPr>
      <w:rPr>
        <w:rFonts w:hint="default"/>
      </w:rPr>
    </w:lvl>
    <w:lvl w:ilvl="1" w:tplc="38090019" w:tentative="1">
      <w:start w:val="1"/>
      <w:numFmt w:val="lowerLetter"/>
      <w:lvlText w:val="%2."/>
      <w:lvlJc w:val="left"/>
      <w:pPr>
        <w:ind w:left="1097" w:hanging="360"/>
      </w:pPr>
    </w:lvl>
    <w:lvl w:ilvl="2" w:tplc="3809001B" w:tentative="1">
      <w:start w:val="1"/>
      <w:numFmt w:val="lowerRoman"/>
      <w:lvlText w:val="%3."/>
      <w:lvlJc w:val="right"/>
      <w:pPr>
        <w:ind w:left="1817" w:hanging="180"/>
      </w:pPr>
    </w:lvl>
    <w:lvl w:ilvl="3" w:tplc="3809000F" w:tentative="1">
      <w:start w:val="1"/>
      <w:numFmt w:val="decimal"/>
      <w:lvlText w:val="%4."/>
      <w:lvlJc w:val="left"/>
      <w:pPr>
        <w:ind w:left="2537" w:hanging="360"/>
      </w:pPr>
    </w:lvl>
    <w:lvl w:ilvl="4" w:tplc="38090019" w:tentative="1">
      <w:start w:val="1"/>
      <w:numFmt w:val="lowerLetter"/>
      <w:lvlText w:val="%5."/>
      <w:lvlJc w:val="left"/>
      <w:pPr>
        <w:ind w:left="3257" w:hanging="360"/>
      </w:pPr>
    </w:lvl>
    <w:lvl w:ilvl="5" w:tplc="3809001B" w:tentative="1">
      <w:start w:val="1"/>
      <w:numFmt w:val="lowerRoman"/>
      <w:lvlText w:val="%6."/>
      <w:lvlJc w:val="right"/>
      <w:pPr>
        <w:ind w:left="3977" w:hanging="180"/>
      </w:pPr>
    </w:lvl>
    <w:lvl w:ilvl="6" w:tplc="3809000F" w:tentative="1">
      <w:start w:val="1"/>
      <w:numFmt w:val="decimal"/>
      <w:lvlText w:val="%7."/>
      <w:lvlJc w:val="left"/>
      <w:pPr>
        <w:ind w:left="4697" w:hanging="360"/>
      </w:pPr>
    </w:lvl>
    <w:lvl w:ilvl="7" w:tplc="38090019" w:tentative="1">
      <w:start w:val="1"/>
      <w:numFmt w:val="lowerLetter"/>
      <w:lvlText w:val="%8."/>
      <w:lvlJc w:val="left"/>
      <w:pPr>
        <w:ind w:left="5417" w:hanging="360"/>
      </w:pPr>
    </w:lvl>
    <w:lvl w:ilvl="8" w:tplc="3809001B" w:tentative="1">
      <w:start w:val="1"/>
      <w:numFmt w:val="lowerRoman"/>
      <w:lvlText w:val="%9."/>
      <w:lvlJc w:val="right"/>
      <w:pPr>
        <w:ind w:left="6137" w:hanging="180"/>
      </w:pPr>
    </w:lvl>
  </w:abstractNum>
  <w:abstractNum w:abstractNumId="5" w15:restartNumberingAfterBreak="0">
    <w:nsid w:val="7DBD7D28"/>
    <w:multiLevelType w:val="hybridMultilevel"/>
    <w:tmpl w:val="137C0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89"/>
    <w:rsid w:val="00071E72"/>
    <w:rsid w:val="000805A1"/>
    <w:rsid w:val="00086CD8"/>
    <w:rsid w:val="00097AE4"/>
    <w:rsid w:val="000B0B23"/>
    <w:rsid w:val="00150F0B"/>
    <w:rsid w:val="00165B1B"/>
    <w:rsid w:val="00175059"/>
    <w:rsid w:val="001911F9"/>
    <w:rsid w:val="001B1124"/>
    <w:rsid w:val="001F28B8"/>
    <w:rsid w:val="00207FD6"/>
    <w:rsid w:val="00210617"/>
    <w:rsid w:val="00250F25"/>
    <w:rsid w:val="002A25F1"/>
    <w:rsid w:val="002E4529"/>
    <w:rsid w:val="003B01CD"/>
    <w:rsid w:val="003B6C62"/>
    <w:rsid w:val="003D3765"/>
    <w:rsid w:val="003D4272"/>
    <w:rsid w:val="003F7B06"/>
    <w:rsid w:val="00402F1C"/>
    <w:rsid w:val="00410039"/>
    <w:rsid w:val="004375C4"/>
    <w:rsid w:val="00442214"/>
    <w:rsid w:val="00475109"/>
    <w:rsid w:val="004A4FF9"/>
    <w:rsid w:val="004B42FB"/>
    <w:rsid w:val="00500278"/>
    <w:rsid w:val="005167C8"/>
    <w:rsid w:val="005327B8"/>
    <w:rsid w:val="00583C9F"/>
    <w:rsid w:val="005F5D86"/>
    <w:rsid w:val="00605E83"/>
    <w:rsid w:val="00665B89"/>
    <w:rsid w:val="00681B9A"/>
    <w:rsid w:val="006A4085"/>
    <w:rsid w:val="006B3EC4"/>
    <w:rsid w:val="006B6E3B"/>
    <w:rsid w:val="006C460B"/>
    <w:rsid w:val="006E1175"/>
    <w:rsid w:val="006E24BC"/>
    <w:rsid w:val="0076199B"/>
    <w:rsid w:val="00767105"/>
    <w:rsid w:val="0078050C"/>
    <w:rsid w:val="00786B46"/>
    <w:rsid w:val="007A706F"/>
    <w:rsid w:val="008B250E"/>
    <w:rsid w:val="009530DD"/>
    <w:rsid w:val="009807D3"/>
    <w:rsid w:val="009B03F9"/>
    <w:rsid w:val="009B4A3D"/>
    <w:rsid w:val="009C18FD"/>
    <w:rsid w:val="009D3173"/>
    <w:rsid w:val="00A078BD"/>
    <w:rsid w:val="00A34225"/>
    <w:rsid w:val="00A520F3"/>
    <w:rsid w:val="00AC5816"/>
    <w:rsid w:val="00AF51B7"/>
    <w:rsid w:val="00BA0970"/>
    <w:rsid w:val="00BA20CB"/>
    <w:rsid w:val="00BC7243"/>
    <w:rsid w:val="00BE023D"/>
    <w:rsid w:val="00BF3CC7"/>
    <w:rsid w:val="00C26B26"/>
    <w:rsid w:val="00C52AC1"/>
    <w:rsid w:val="00C71DA2"/>
    <w:rsid w:val="00CA2D72"/>
    <w:rsid w:val="00CA392A"/>
    <w:rsid w:val="00CE246D"/>
    <w:rsid w:val="00D35E66"/>
    <w:rsid w:val="00D401E3"/>
    <w:rsid w:val="00D521A8"/>
    <w:rsid w:val="00DA74AC"/>
    <w:rsid w:val="00DE0B12"/>
    <w:rsid w:val="00E94669"/>
    <w:rsid w:val="00EE29F3"/>
    <w:rsid w:val="00EF3959"/>
    <w:rsid w:val="00F02824"/>
    <w:rsid w:val="00F54310"/>
    <w:rsid w:val="00F61FD1"/>
    <w:rsid w:val="00F82B08"/>
    <w:rsid w:val="00FD0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7254"/>
  <w15:chartTrackingRefBased/>
  <w15:docId w15:val="{EFC4F10A-F4C0-411C-B4F0-3687B296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5C4"/>
    <w:rPr>
      <w:color w:val="0563C1" w:themeColor="hyperlink"/>
      <w:u w:val="single"/>
    </w:rPr>
  </w:style>
  <w:style w:type="character" w:customStyle="1" w:styleId="UnresolvedMention1">
    <w:name w:val="Unresolved Mention1"/>
    <w:basedOn w:val="DefaultParagraphFont"/>
    <w:uiPriority w:val="99"/>
    <w:semiHidden/>
    <w:unhideWhenUsed/>
    <w:rsid w:val="004375C4"/>
    <w:rPr>
      <w:color w:val="605E5C"/>
      <w:shd w:val="clear" w:color="auto" w:fill="E1DFDD"/>
    </w:rPr>
  </w:style>
  <w:style w:type="paragraph" w:styleId="ListParagraph">
    <w:name w:val="List Paragraph"/>
    <w:basedOn w:val="Normal"/>
    <w:link w:val="ListParagraphChar"/>
    <w:uiPriority w:val="34"/>
    <w:qFormat/>
    <w:rsid w:val="00250F25"/>
    <w:pPr>
      <w:spacing w:after="200" w:line="276" w:lineRule="auto"/>
      <w:ind w:left="720"/>
      <w:contextualSpacing/>
    </w:pPr>
    <w:rPr>
      <w:rFonts w:eastAsiaTheme="minorEastAsia"/>
    </w:rPr>
  </w:style>
  <w:style w:type="table" w:styleId="TableGrid">
    <w:name w:val="Table Grid"/>
    <w:basedOn w:val="TableNormal"/>
    <w:uiPriority w:val="39"/>
    <w:rsid w:val="009C18FD"/>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9530DD"/>
  </w:style>
  <w:style w:type="character" w:customStyle="1" w:styleId="ListParagraphChar">
    <w:name w:val="List Paragraph Char"/>
    <w:basedOn w:val="DefaultParagraphFont"/>
    <w:link w:val="ListParagraph"/>
    <w:uiPriority w:val="34"/>
    <w:locked/>
    <w:rsid w:val="0076199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29857">
      <w:bodyDiv w:val="1"/>
      <w:marLeft w:val="0"/>
      <w:marRight w:val="0"/>
      <w:marTop w:val="0"/>
      <w:marBottom w:val="0"/>
      <w:divBdr>
        <w:top w:val="none" w:sz="0" w:space="0" w:color="auto"/>
        <w:left w:val="none" w:sz="0" w:space="0" w:color="auto"/>
        <w:bottom w:val="none" w:sz="0" w:space="0" w:color="auto"/>
        <w:right w:val="none" w:sz="0" w:space="0" w:color="auto"/>
      </w:divBdr>
    </w:div>
    <w:div w:id="77291412">
      <w:bodyDiv w:val="1"/>
      <w:marLeft w:val="0"/>
      <w:marRight w:val="0"/>
      <w:marTop w:val="0"/>
      <w:marBottom w:val="0"/>
      <w:divBdr>
        <w:top w:val="none" w:sz="0" w:space="0" w:color="auto"/>
        <w:left w:val="none" w:sz="0" w:space="0" w:color="auto"/>
        <w:bottom w:val="none" w:sz="0" w:space="0" w:color="auto"/>
        <w:right w:val="none" w:sz="0" w:space="0" w:color="auto"/>
      </w:divBdr>
    </w:div>
    <w:div w:id="170996864">
      <w:bodyDiv w:val="1"/>
      <w:marLeft w:val="0"/>
      <w:marRight w:val="0"/>
      <w:marTop w:val="0"/>
      <w:marBottom w:val="0"/>
      <w:divBdr>
        <w:top w:val="none" w:sz="0" w:space="0" w:color="auto"/>
        <w:left w:val="none" w:sz="0" w:space="0" w:color="auto"/>
        <w:bottom w:val="none" w:sz="0" w:space="0" w:color="auto"/>
        <w:right w:val="none" w:sz="0" w:space="0" w:color="auto"/>
      </w:divBdr>
    </w:div>
    <w:div w:id="212086812">
      <w:bodyDiv w:val="1"/>
      <w:marLeft w:val="0"/>
      <w:marRight w:val="0"/>
      <w:marTop w:val="0"/>
      <w:marBottom w:val="0"/>
      <w:divBdr>
        <w:top w:val="none" w:sz="0" w:space="0" w:color="auto"/>
        <w:left w:val="none" w:sz="0" w:space="0" w:color="auto"/>
        <w:bottom w:val="none" w:sz="0" w:space="0" w:color="auto"/>
        <w:right w:val="none" w:sz="0" w:space="0" w:color="auto"/>
      </w:divBdr>
    </w:div>
    <w:div w:id="552036934">
      <w:bodyDiv w:val="1"/>
      <w:marLeft w:val="0"/>
      <w:marRight w:val="0"/>
      <w:marTop w:val="0"/>
      <w:marBottom w:val="0"/>
      <w:divBdr>
        <w:top w:val="none" w:sz="0" w:space="0" w:color="auto"/>
        <w:left w:val="none" w:sz="0" w:space="0" w:color="auto"/>
        <w:bottom w:val="none" w:sz="0" w:space="0" w:color="auto"/>
        <w:right w:val="none" w:sz="0" w:space="0" w:color="auto"/>
      </w:divBdr>
    </w:div>
    <w:div w:id="741834699">
      <w:bodyDiv w:val="1"/>
      <w:marLeft w:val="0"/>
      <w:marRight w:val="0"/>
      <w:marTop w:val="0"/>
      <w:marBottom w:val="0"/>
      <w:divBdr>
        <w:top w:val="none" w:sz="0" w:space="0" w:color="auto"/>
        <w:left w:val="none" w:sz="0" w:space="0" w:color="auto"/>
        <w:bottom w:val="none" w:sz="0" w:space="0" w:color="auto"/>
        <w:right w:val="none" w:sz="0" w:space="0" w:color="auto"/>
      </w:divBdr>
    </w:div>
    <w:div w:id="807628551">
      <w:bodyDiv w:val="1"/>
      <w:marLeft w:val="0"/>
      <w:marRight w:val="0"/>
      <w:marTop w:val="0"/>
      <w:marBottom w:val="0"/>
      <w:divBdr>
        <w:top w:val="none" w:sz="0" w:space="0" w:color="auto"/>
        <w:left w:val="none" w:sz="0" w:space="0" w:color="auto"/>
        <w:bottom w:val="none" w:sz="0" w:space="0" w:color="auto"/>
        <w:right w:val="none" w:sz="0" w:space="0" w:color="auto"/>
      </w:divBdr>
    </w:div>
    <w:div w:id="1028985911">
      <w:bodyDiv w:val="1"/>
      <w:marLeft w:val="0"/>
      <w:marRight w:val="0"/>
      <w:marTop w:val="0"/>
      <w:marBottom w:val="0"/>
      <w:divBdr>
        <w:top w:val="none" w:sz="0" w:space="0" w:color="auto"/>
        <w:left w:val="none" w:sz="0" w:space="0" w:color="auto"/>
        <w:bottom w:val="none" w:sz="0" w:space="0" w:color="auto"/>
        <w:right w:val="none" w:sz="0" w:space="0" w:color="auto"/>
      </w:divBdr>
    </w:div>
    <w:div w:id="1030498638">
      <w:bodyDiv w:val="1"/>
      <w:marLeft w:val="0"/>
      <w:marRight w:val="0"/>
      <w:marTop w:val="0"/>
      <w:marBottom w:val="0"/>
      <w:divBdr>
        <w:top w:val="none" w:sz="0" w:space="0" w:color="auto"/>
        <w:left w:val="none" w:sz="0" w:space="0" w:color="auto"/>
        <w:bottom w:val="none" w:sz="0" w:space="0" w:color="auto"/>
        <w:right w:val="none" w:sz="0" w:space="0" w:color="auto"/>
      </w:divBdr>
    </w:div>
    <w:div w:id="1182234993">
      <w:bodyDiv w:val="1"/>
      <w:marLeft w:val="0"/>
      <w:marRight w:val="0"/>
      <w:marTop w:val="0"/>
      <w:marBottom w:val="0"/>
      <w:divBdr>
        <w:top w:val="none" w:sz="0" w:space="0" w:color="auto"/>
        <w:left w:val="none" w:sz="0" w:space="0" w:color="auto"/>
        <w:bottom w:val="none" w:sz="0" w:space="0" w:color="auto"/>
        <w:right w:val="none" w:sz="0" w:space="0" w:color="auto"/>
      </w:divBdr>
    </w:div>
    <w:div w:id="1189949505">
      <w:bodyDiv w:val="1"/>
      <w:marLeft w:val="0"/>
      <w:marRight w:val="0"/>
      <w:marTop w:val="0"/>
      <w:marBottom w:val="0"/>
      <w:divBdr>
        <w:top w:val="none" w:sz="0" w:space="0" w:color="auto"/>
        <w:left w:val="none" w:sz="0" w:space="0" w:color="auto"/>
        <w:bottom w:val="none" w:sz="0" w:space="0" w:color="auto"/>
        <w:right w:val="none" w:sz="0" w:space="0" w:color="auto"/>
      </w:divBdr>
    </w:div>
    <w:div w:id="1970234062">
      <w:bodyDiv w:val="1"/>
      <w:marLeft w:val="0"/>
      <w:marRight w:val="0"/>
      <w:marTop w:val="0"/>
      <w:marBottom w:val="0"/>
      <w:divBdr>
        <w:top w:val="none" w:sz="0" w:space="0" w:color="auto"/>
        <w:left w:val="none" w:sz="0" w:space="0" w:color="auto"/>
        <w:bottom w:val="none" w:sz="0" w:space="0" w:color="auto"/>
        <w:right w:val="none" w:sz="0" w:space="0" w:color="auto"/>
      </w:divBdr>
    </w:div>
    <w:div w:id="1986204794">
      <w:bodyDiv w:val="1"/>
      <w:marLeft w:val="0"/>
      <w:marRight w:val="0"/>
      <w:marTop w:val="0"/>
      <w:marBottom w:val="0"/>
      <w:divBdr>
        <w:top w:val="none" w:sz="0" w:space="0" w:color="auto"/>
        <w:left w:val="none" w:sz="0" w:space="0" w:color="auto"/>
        <w:bottom w:val="none" w:sz="0" w:space="0" w:color="auto"/>
        <w:right w:val="none" w:sz="0" w:space="0" w:color="auto"/>
      </w:divBdr>
    </w:div>
    <w:div w:id="21114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ika.puspitasar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TESIS%20KRIS\Ending%20Tesis\Hasil%20Penelitian\Rekap%20Hasil%20Kultu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ESIS%20KRIS\Ending%20Tesis\Hasil%20Penelitian\Rekap%20Hasil%20Kultur%20Gram%20Positiv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Sheet3!$A$2:$A$22</c:f>
              <c:strCache>
                <c:ptCount val="21"/>
                <c:pt idx="0">
                  <c:v>Ampisilin</c:v>
                </c:pt>
                <c:pt idx="1">
                  <c:v>Amoxy-clav</c:v>
                </c:pt>
                <c:pt idx="2">
                  <c:v>Ampi-sulbactam</c:v>
                </c:pt>
                <c:pt idx="3">
                  <c:v>Tazobactam-piperacillin</c:v>
                </c:pt>
                <c:pt idx="4">
                  <c:v>Cefazolin</c:v>
                </c:pt>
                <c:pt idx="5">
                  <c:v>Cefuroxime</c:v>
                </c:pt>
                <c:pt idx="6">
                  <c:v>Cefotaxime</c:v>
                </c:pt>
                <c:pt idx="7">
                  <c:v>Ceftazidime</c:v>
                </c:pt>
                <c:pt idx="8">
                  <c:v>Ceftriaxone</c:v>
                </c:pt>
                <c:pt idx="9">
                  <c:v>Cefepime</c:v>
                </c:pt>
                <c:pt idx="10">
                  <c:v>Ciprofloxacin</c:v>
                </c:pt>
                <c:pt idx="11">
                  <c:v>Levofloxacin</c:v>
                </c:pt>
                <c:pt idx="12">
                  <c:v>Gentamisin</c:v>
                </c:pt>
                <c:pt idx="13">
                  <c:v>Tobramsin</c:v>
                </c:pt>
                <c:pt idx="14">
                  <c:v>Amikasin</c:v>
                </c:pt>
                <c:pt idx="15">
                  <c:v>Meropenem</c:v>
                </c:pt>
                <c:pt idx="16">
                  <c:v>Cotrimoxazole</c:v>
                </c:pt>
                <c:pt idx="17">
                  <c:v>Aztreonam</c:v>
                </c:pt>
                <c:pt idx="18">
                  <c:v>Tetracyclin</c:v>
                </c:pt>
                <c:pt idx="19">
                  <c:v>Piperacillin</c:v>
                </c:pt>
                <c:pt idx="20">
                  <c:v>Chloramphenicol</c:v>
                </c:pt>
              </c:strCache>
            </c:strRef>
          </c:cat>
          <c:val>
            <c:numRef>
              <c:f>Sheet3!$B$2:$B$22</c:f>
              <c:numCache>
                <c:formatCode>0</c:formatCode>
                <c:ptCount val="21"/>
                <c:pt idx="0">
                  <c:v>17.857142857142858</c:v>
                </c:pt>
                <c:pt idx="1">
                  <c:v>92.592592592592595</c:v>
                </c:pt>
                <c:pt idx="2">
                  <c:v>100</c:v>
                </c:pt>
                <c:pt idx="3">
                  <c:v>100</c:v>
                </c:pt>
                <c:pt idx="4">
                  <c:v>76.19047619047619</c:v>
                </c:pt>
                <c:pt idx="5">
                  <c:v>70.370370370370367</c:v>
                </c:pt>
                <c:pt idx="6">
                  <c:v>85.714285714285708</c:v>
                </c:pt>
                <c:pt idx="7">
                  <c:v>87.5</c:v>
                </c:pt>
                <c:pt idx="8">
                  <c:v>92.592592592592595</c:v>
                </c:pt>
                <c:pt idx="9">
                  <c:v>92.857142857142861</c:v>
                </c:pt>
                <c:pt idx="10">
                  <c:v>100</c:v>
                </c:pt>
                <c:pt idx="11">
                  <c:v>100</c:v>
                </c:pt>
                <c:pt idx="12">
                  <c:v>100</c:v>
                </c:pt>
                <c:pt idx="13">
                  <c:v>95.454545454545453</c:v>
                </c:pt>
                <c:pt idx="14">
                  <c:v>100</c:v>
                </c:pt>
                <c:pt idx="15">
                  <c:v>96.428571428571431</c:v>
                </c:pt>
                <c:pt idx="16">
                  <c:v>85.714285714285708</c:v>
                </c:pt>
                <c:pt idx="17">
                  <c:v>95.454545454545453</c:v>
                </c:pt>
                <c:pt idx="18">
                  <c:v>42.857142857142854</c:v>
                </c:pt>
                <c:pt idx="19">
                  <c:v>100</c:v>
                </c:pt>
                <c:pt idx="20">
                  <c:v>75</c:v>
                </c:pt>
              </c:numCache>
            </c:numRef>
          </c:val>
          <c:extLst>
            <c:ext xmlns:c16="http://schemas.microsoft.com/office/drawing/2014/chart" uri="{C3380CC4-5D6E-409C-BE32-E72D297353CC}">
              <c16:uniqueId val="{00000000-5A4E-4A50-B82B-3107E4DD133B}"/>
            </c:ext>
          </c:extLst>
        </c:ser>
        <c:dLbls>
          <c:dLblPos val="outEnd"/>
          <c:showLegendKey val="0"/>
          <c:showVal val="1"/>
          <c:showCatName val="0"/>
          <c:showSerName val="0"/>
          <c:showPercent val="0"/>
          <c:showBubbleSize val="0"/>
        </c:dLbls>
        <c:gapWidth val="182"/>
        <c:axId val="203274832"/>
        <c:axId val="203283536"/>
      </c:barChart>
      <c:catAx>
        <c:axId val="203274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83536"/>
        <c:crosses val="autoZero"/>
        <c:auto val="1"/>
        <c:lblAlgn val="ctr"/>
        <c:lblOffset val="100"/>
        <c:noMultiLvlLbl val="0"/>
      </c:catAx>
      <c:valAx>
        <c:axId val="2032835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74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Sheet3!$A$2:$A$16</c:f>
              <c:strCache>
                <c:ptCount val="15"/>
                <c:pt idx="0">
                  <c:v>Ampisilin</c:v>
                </c:pt>
                <c:pt idx="1">
                  <c:v>Penicillin</c:v>
                </c:pt>
                <c:pt idx="2">
                  <c:v>Gentamisin</c:v>
                </c:pt>
                <c:pt idx="3">
                  <c:v>Cefepime</c:v>
                </c:pt>
                <c:pt idx="4">
                  <c:v>Ceftriaxone</c:v>
                </c:pt>
                <c:pt idx="5">
                  <c:v>Cefotaxime</c:v>
                </c:pt>
                <c:pt idx="6">
                  <c:v>Ciprofloxacin</c:v>
                </c:pt>
                <c:pt idx="7">
                  <c:v>Levofloxacin</c:v>
                </c:pt>
                <c:pt idx="8">
                  <c:v>Erythromycin</c:v>
                </c:pt>
                <c:pt idx="9">
                  <c:v>Clindamycin</c:v>
                </c:pt>
                <c:pt idx="10">
                  <c:v>Linezolid</c:v>
                </c:pt>
                <c:pt idx="11">
                  <c:v>Tetracyclin</c:v>
                </c:pt>
                <c:pt idx="12">
                  <c:v>Vancomycin</c:v>
                </c:pt>
                <c:pt idx="13">
                  <c:v>Cotrimoxazole</c:v>
                </c:pt>
                <c:pt idx="14">
                  <c:v>Chloramphenicol</c:v>
                </c:pt>
              </c:strCache>
            </c:strRef>
          </c:cat>
          <c:val>
            <c:numRef>
              <c:f>Sheet3!$B$2:$B$16</c:f>
              <c:numCache>
                <c:formatCode>0</c:formatCode>
                <c:ptCount val="15"/>
                <c:pt idx="0">
                  <c:v>100</c:v>
                </c:pt>
                <c:pt idx="1">
                  <c:v>76.923076923076934</c:v>
                </c:pt>
                <c:pt idx="2">
                  <c:v>100</c:v>
                </c:pt>
                <c:pt idx="3">
                  <c:v>100</c:v>
                </c:pt>
                <c:pt idx="4">
                  <c:v>100</c:v>
                </c:pt>
                <c:pt idx="5">
                  <c:v>100</c:v>
                </c:pt>
                <c:pt idx="6">
                  <c:v>100</c:v>
                </c:pt>
                <c:pt idx="7">
                  <c:v>100</c:v>
                </c:pt>
                <c:pt idx="8">
                  <c:v>81.25</c:v>
                </c:pt>
                <c:pt idx="9">
                  <c:v>78.571428571428569</c:v>
                </c:pt>
                <c:pt idx="10">
                  <c:v>100</c:v>
                </c:pt>
                <c:pt idx="11">
                  <c:v>50</c:v>
                </c:pt>
                <c:pt idx="12">
                  <c:v>100</c:v>
                </c:pt>
                <c:pt idx="13">
                  <c:v>83.333333333333343</c:v>
                </c:pt>
                <c:pt idx="14">
                  <c:v>100</c:v>
                </c:pt>
              </c:numCache>
            </c:numRef>
          </c:val>
          <c:extLst>
            <c:ext xmlns:c16="http://schemas.microsoft.com/office/drawing/2014/chart" uri="{C3380CC4-5D6E-409C-BE32-E72D297353CC}">
              <c16:uniqueId val="{00000000-4F36-4E6B-978C-BB929ECB1D7C}"/>
            </c:ext>
          </c:extLst>
        </c:ser>
        <c:dLbls>
          <c:dLblPos val="outEnd"/>
          <c:showLegendKey val="0"/>
          <c:showVal val="1"/>
          <c:showCatName val="0"/>
          <c:showSerName val="0"/>
          <c:showPercent val="0"/>
          <c:showBubbleSize val="0"/>
        </c:dLbls>
        <c:gapWidth val="182"/>
        <c:axId val="203279184"/>
        <c:axId val="203270480"/>
      </c:barChart>
      <c:catAx>
        <c:axId val="20327918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70480"/>
        <c:crosses val="autoZero"/>
        <c:auto val="1"/>
        <c:lblAlgn val="ctr"/>
        <c:lblOffset val="100"/>
        <c:noMultiLvlLbl val="0"/>
      </c:catAx>
      <c:valAx>
        <c:axId val="2032704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79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7474</Words>
  <Characters>42606</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2019-10-13T13:44:00Z</dcterms:created>
  <dcterms:modified xsi:type="dcterms:W3CDTF">2019-11-07T04:37:00Z</dcterms:modified>
</cp:coreProperties>
</file>