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CC8B3" w14:textId="6B209995" w:rsidR="00965961" w:rsidRDefault="00965961" w:rsidP="003417A7">
      <w:pPr>
        <w:pStyle w:val="Caption"/>
        <w:keepNext/>
        <w:jc w:val="center"/>
      </w:pPr>
      <w:r>
        <w:t xml:space="preserve">Tabel </w:t>
      </w:r>
      <w:r w:rsidR="00CF5C3F">
        <w:fldChar w:fldCharType="begin"/>
      </w:r>
      <w:r w:rsidR="00CF5C3F">
        <w:instrText xml:space="preserve"> SEQ Tabel \* ARABIC </w:instrText>
      </w:r>
      <w:r w:rsidR="00CF5C3F">
        <w:fldChar w:fldCharType="separate"/>
      </w:r>
      <w:r>
        <w:rPr>
          <w:noProof/>
        </w:rPr>
        <w:t>1</w:t>
      </w:r>
      <w:r w:rsidR="00CF5C3F">
        <w:rPr>
          <w:noProof/>
        </w:rPr>
        <w:fldChar w:fldCharType="end"/>
      </w:r>
      <w:r>
        <w:t xml:space="preserve">. </w:t>
      </w:r>
      <w:r w:rsidR="00CF5C3F">
        <w:t>Tabel Hasil Tinjauan Sistematis</w:t>
      </w:r>
      <w:bookmarkStart w:id="0" w:name="_GoBack"/>
      <w:bookmarkEnd w:id="0"/>
    </w:p>
    <w:tbl>
      <w:tblPr>
        <w:tblStyle w:val="TableGrid"/>
        <w:tblW w:w="0" w:type="auto"/>
        <w:tblLook w:val="04A0" w:firstRow="1" w:lastRow="0" w:firstColumn="1" w:lastColumn="0" w:noHBand="0" w:noVBand="1"/>
      </w:tblPr>
      <w:tblGrid>
        <w:gridCol w:w="626"/>
        <w:gridCol w:w="2378"/>
        <w:gridCol w:w="2469"/>
        <w:gridCol w:w="1549"/>
        <w:gridCol w:w="3465"/>
        <w:gridCol w:w="3355"/>
      </w:tblGrid>
      <w:tr w:rsidR="00B67216" w:rsidRPr="000B2BB5" w14:paraId="49ED244E" w14:textId="77777777" w:rsidTr="003417A7">
        <w:trPr>
          <w:trHeight w:val="566"/>
        </w:trPr>
        <w:tc>
          <w:tcPr>
            <w:tcW w:w="626" w:type="dxa"/>
          </w:tcPr>
          <w:p w14:paraId="2D6ECE78" w14:textId="77777777" w:rsidR="00B67216" w:rsidRPr="000B2BB5" w:rsidRDefault="00B67216" w:rsidP="005F53BB">
            <w:pPr>
              <w:rPr>
                <w:rFonts w:ascii="Times New Roman" w:hAnsi="Times New Roman" w:cs="Times New Roman"/>
              </w:rPr>
            </w:pPr>
            <w:r w:rsidRPr="000B2BB5">
              <w:rPr>
                <w:rFonts w:ascii="Times New Roman" w:hAnsi="Times New Roman" w:cs="Times New Roman"/>
              </w:rPr>
              <w:t>No</w:t>
            </w:r>
          </w:p>
        </w:tc>
        <w:tc>
          <w:tcPr>
            <w:tcW w:w="2378" w:type="dxa"/>
          </w:tcPr>
          <w:p w14:paraId="0EF38A2B" w14:textId="77777777" w:rsidR="00B67216" w:rsidRPr="000B2BB5" w:rsidRDefault="00B67216" w:rsidP="005F53BB">
            <w:pPr>
              <w:rPr>
                <w:rFonts w:ascii="Times New Roman" w:hAnsi="Times New Roman" w:cs="Times New Roman"/>
              </w:rPr>
            </w:pPr>
            <w:r>
              <w:rPr>
                <w:rFonts w:ascii="Times New Roman" w:hAnsi="Times New Roman" w:cs="Times New Roman"/>
              </w:rPr>
              <w:t xml:space="preserve">Judul </w:t>
            </w:r>
          </w:p>
        </w:tc>
        <w:tc>
          <w:tcPr>
            <w:tcW w:w="2469" w:type="dxa"/>
          </w:tcPr>
          <w:p w14:paraId="30084C6B" w14:textId="77777777" w:rsidR="00B67216" w:rsidRPr="000B2BB5" w:rsidRDefault="00B67216" w:rsidP="005F53BB">
            <w:pPr>
              <w:rPr>
                <w:rFonts w:ascii="Times New Roman" w:hAnsi="Times New Roman" w:cs="Times New Roman"/>
              </w:rPr>
            </w:pPr>
            <w:r>
              <w:rPr>
                <w:rFonts w:ascii="Times New Roman" w:hAnsi="Times New Roman" w:cs="Times New Roman"/>
              </w:rPr>
              <w:t>Penulis</w:t>
            </w:r>
          </w:p>
        </w:tc>
        <w:tc>
          <w:tcPr>
            <w:tcW w:w="1549" w:type="dxa"/>
          </w:tcPr>
          <w:p w14:paraId="49687292" w14:textId="77777777" w:rsidR="00B67216" w:rsidRPr="000B2BB5" w:rsidRDefault="00B67216" w:rsidP="005F53BB">
            <w:pPr>
              <w:rPr>
                <w:rFonts w:ascii="Times New Roman" w:hAnsi="Times New Roman" w:cs="Times New Roman"/>
              </w:rPr>
            </w:pPr>
            <w:r>
              <w:rPr>
                <w:rFonts w:ascii="Times New Roman" w:hAnsi="Times New Roman" w:cs="Times New Roman"/>
              </w:rPr>
              <w:t>Jenis Artikel</w:t>
            </w:r>
          </w:p>
        </w:tc>
        <w:tc>
          <w:tcPr>
            <w:tcW w:w="3465" w:type="dxa"/>
          </w:tcPr>
          <w:p w14:paraId="470032BD" w14:textId="23E43D45" w:rsidR="00B67216" w:rsidRPr="000B2BB5" w:rsidRDefault="00B67216" w:rsidP="005F53BB">
            <w:pPr>
              <w:rPr>
                <w:rFonts w:ascii="Times New Roman" w:hAnsi="Times New Roman" w:cs="Times New Roman"/>
              </w:rPr>
            </w:pPr>
            <w:r>
              <w:rPr>
                <w:rFonts w:ascii="Times New Roman" w:hAnsi="Times New Roman" w:cs="Times New Roman"/>
              </w:rPr>
              <w:t>Metode</w:t>
            </w:r>
          </w:p>
        </w:tc>
        <w:tc>
          <w:tcPr>
            <w:tcW w:w="3355" w:type="dxa"/>
          </w:tcPr>
          <w:p w14:paraId="6DA7657B" w14:textId="77777777" w:rsidR="00B67216" w:rsidRPr="000B2BB5" w:rsidRDefault="00B67216" w:rsidP="005F53BB">
            <w:pPr>
              <w:rPr>
                <w:rFonts w:ascii="Times New Roman" w:hAnsi="Times New Roman" w:cs="Times New Roman"/>
              </w:rPr>
            </w:pPr>
            <w:r>
              <w:rPr>
                <w:rFonts w:ascii="Times New Roman" w:hAnsi="Times New Roman" w:cs="Times New Roman"/>
              </w:rPr>
              <w:t>Hasil Penelitian</w:t>
            </w:r>
          </w:p>
        </w:tc>
      </w:tr>
      <w:tr w:rsidR="00B67216" w:rsidRPr="000B2BB5" w14:paraId="36C84DD0" w14:textId="77777777" w:rsidTr="003417A7">
        <w:trPr>
          <w:trHeight w:val="2486"/>
        </w:trPr>
        <w:tc>
          <w:tcPr>
            <w:tcW w:w="626" w:type="dxa"/>
          </w:tcPr>
          <w:p w14:paraId="2996B1A8" w14:textId="77777777" w:rsidR="00B67216" w:rsidRPr="000B2BB5" w:rsidRDefault="00B67216" w:rsidP="005F53BB">
            <w:pPr>
              <w:rPr>
                <w:rFonts w:ascii="Times New Roman" w:hAnsi="Times New Roman" w:cs="Times New Roman"/>
              </w:rPr>
            </w:pPr>
            <w:r>
              <w:rPr>
                <w:rFonts w:ascii="Times New Roman" w:hAnsi="Times New Roman" w:cs="Times New Roman"/>
              </w:rPr>
              <w:t>1</w:t>
            </w:r>
          </w:p>
        </w:tc>
        <w:tc>
          <w:tcPr>
            <w:tcW w:w="2378" w:type="dxa"/>
          </w:tcPr>
          <w:p w14:paraId="152A5466" w14:textId="77777777" w:rsidR="00B67216" w:rsidRPr="000B2BB5" w:rsidRDefault="00B67216" w:rsidP="005F53BB">
            <w:pPr>
              <w:pStyle w:val="NormalWeb"/>
            </w:pPr>
            <w:r w:rsidRPr="000B2BB5">
              <w:rPr>
                <w:color w:val="111111"/>
              </w:rPr>
              <w:t xml:space="preserve">Stroke and digital technology: a wake-up call from COVID-19 pandemic </w:t>
            </w:r>
          </w:p>
          <w:p w14:paraId="13F482C8" w14:textId="77777777" w:rsidR="00B67216" w:rsidRPr="000B2BB5" w:rsidRDefault="00B67216" w:rsidP="005F53BB">
            <w:pPr>
              <w:rPr>
                <w:rFonts w:ascii="Times New Roman" w:hAnsi="Times New Roman" w:cs="Times New Roman"/>
              </w:rPr>
            </w:pPr>
          </w:p>
        </w:tc>
        <w:tc>
          <w:tcPr>
            <w:tcW w:w="2469" w:type="dxa"/>
          </w:tcPr>
          <w:p w14:paraId="2649EF33" w14:textId="2B30A443" w:rsidR="00B67216" w:rsidRPr="000B2BB5" w:rsidRDefault="00B67216" w:rsidP="005F53BB">
            <w:pPr>
              <w:pStyle w:val="NormalWeb"/>
            </w:pPr>
            <w:r w:rsidRPr="000B2BB5">
              <w:rPr>
                <w:color w:val="111111"/>
              </w:rPr>
              <w:t>Francesco Iodice</w:t>
            </w:r>
            <w:r>
              <w:rPr>
                <w:color w:val="111111"/>
              </w:rPr>
              <w:t xml:space="preserve">, et al. </w:t>
            </w:r>
            <w:r w:rsidRPr="000B2BB5">
              <w:rPr>
                <w:color w:val="111111"/>
                <w:position w:val="8"/>
              </w:rPr>
              <w:t xml:space="preserve"> </w:t>
            </w:r>
          </w:p>
          <w:p w14:paraId="7D6A485F" w14:textId="77777777" w:rsidR="00B67216" w:rsidRPr="000B2BB5" w:rsidRDefault="00B67216" w:rsidP="005F53BB">
            <w:pPr>
              <w:rPr>
                <w:rFonts w:ascii="Times New Roman" w:hAnsi="Times New Roman" w:cs="Times New Roman"/>
              </w:rPr>
            </w:pPr>
          </w:p>
        </w:tc>
        <w:tc>
          <w:tcPr>
            <w:tcW w:w="1549" w:type="dxa"/>
          </w:tcPr>
          <w:p w14:paraId="71676456" w14:textId="77777777" w:rsidR="00B67216" w:rsidRPr="000B2BB5" w:rsidRDefault="00B67216" w:rsidP="005F53BB">
            <w:pPr>
              <w:rPr>
                <w:rFonts w:ascii="Times New Roman" w:hAnsi="Times New Roman" w:cs="Times New Roman"/>
              </w:rPr>
            </w:pPr>
            <w:r>
              <w:rPr>
                <w:rFonts w:ascii="Times New Roman" w:hAnsi="Times New Roman" w:cs="Times New Roman"/>
              </w:rPr>
              <w:t>Review article</w:t>
            </w:r>
          </w:p>
        </w:tc>
        <w:tc>
          <w:tcPr>
            <w:tcW w:w="3465" w:type="dxa"/>
          </w:tcPr>
          <w:p w14:paraId="268132F3" w14:textId="13D103C9" w:rsidR="00B67216" w:rsidRPr="000B2BB5" w:rsidRDefault="00B67216" w:rsidP="005F53BB">
            <w:pPr>
              <w:rPr>
                <w:rFonts w:ascii="Times New Roman" w:hAnsi="Times New Roman" w:cs="Times New Roman"/>
              </w:rPr>
            </w:pPr>
            <w:r>
              <w:rPr>
                <w:rFonts w:ascii="Times New Roman" w:hAnsi="Times New Roman" w:cs="Times New Roman"/>
              </w:rPr>
              <w:t>Artikel ini membahas alat digital untuk menilai fase akut dan rehabilitasi setelah stroke, juga membahas aplikasi yang dapat digunakan untuk meningkatkan monitoring pasien setelah dipulangkan dari rumah sakit</w:t>
            </w:r>
          </w:p>
        </w:tc>
        <w:tc>
          <w:tcPr>
            <w:tcW w:w="3355" w:type="dxa"/>
          </w:tcPr>
          <w:p w14:paraId="458C69EC" w14:textId="77777777" w:rsidR="00B67216" w:rsidRPr="000B2BB5" w:rsidRDefault="00B67216" w:rsidP="005F53BB">
            <w:pPr>
              <w:rPr>
                <w:rFonts w:ascii="Times New Roman" w:hAnsi="Times New Roman" w:cs="Times New Roman"/>
                <w:i/>
              </w:rPr>
            </w:pPr>
            <w:r>
              <w:rPr>
                <w:rFonts w:ascii="Times New Roman" w:hAnsi="Times New Roman" w:cs="Times New Roman"/>
              </w:rPr>
              <w:t xml:space="preserve">Telemedicine dan teknologi digital memiliki peran penting dalam ketiga fase stroke: terapi hiperakut dan reperfusi, penanganan akut, klasifikasi etiologic dan pencegahan sekunder dan rehabilitasi. </w:t>
            </w:r>
          </w:p>
        </w:tc>
      </w:tr>
      <w:tr w:rsidR="00B67216" w:rsidRPr="000B2BB5" w14:paraId="5D6A1F18" w14:textId="77777777" w:rsidTr="003417A7">
        <w:trPr>
          <w:trHeight w:val="5235"/>
        </w:trPr>
        <w:tc>
          <w:tcPr>
            <w:tcW w:w="626" w:type="dxa"/>
          </w:tcPr>
          <w:p w14:paraId="5F113CF1" w14:textId="327CF2DB" w:rsidR="00B67216" w:rsidRPr="000B2BB5" w:rsidRDefault="00B67216" w:rsidP="005F53BB">
            <w:pPr>
              <w:rPr>
                <w:rFonts w:ascii="Times New Roman" w:hAnsi="Times New Roman" w:cs="Times New Roman"/>
              </w:rPr>
            </w:pPr>
            <w:r>
              <w:rPr>
                <w:rFonts w:ascii="Times New Roman" w:hAnsi="Times New Roman" w:cs="Times New Roman"/>
              </w:rPr>
              <w:t>2</w:t>
            </w:r>
          </w:p>
        </w:tc>
        <w:tc>
          <w:tcPr>
            <w:tcW w:w="2378" w:type="dxa"/>
          </w:tcPr>
          <w:p w14:paraId="335BD18D" w14:textId="77777777" w:rsidR="00B67216" w:rsidRPr="000B2BB5" w:rsidRDefault="00B67216" w:rsidP="005F53BB">
            <w:pPr>
              <w:pStyle w:val="NormalWeb"/>
            </w:pPr>
            <w:r w:rsidRPr="000B2BB5">
              <w:rPr>
                <w:color w:val="111111"/>
              </w:rPr>
              <w:t xml:space="preserve">Telemedicine for management of patients with amyotrophic lateral sclerosis through COVID-19 tail </w:t>
            </w:r>
          </w:p>
          <w:p w14:paraId="6482EC8E" w14:textId="77777777" w:rsidR="00B67216" w:rsidRPr="000B2BB5" w:rsidRDefault="00B67216" w:rsidP="005F53BB">
            <w:pPr>
              <w:rPr>
                <w:rFonts w:ascii="Times New Roman" w:hAnsi="Times New Roman" w:cs="Times New Roman"/>
              </w:rPr>
            </w:pPr>
          </w:p>
        </w:tc>
        <w:tc>
          <w:tcPr>
            <w:tcW w:w="2469" w:type="dxa"/>
          </w:tcPr>
          <w:p w14:paraId="0DB9F7BA" w14:textId="4E3978DD" w:rsidR="00B67216" w:rsidRPr="000B2BB5" w:rsidRDefault="00B67216" w:rsidP="005F53BB">
            <w:pPr>
              <w:pStyle w:val="NormalWeb"/>
            </w:pPr>
            <w:r w:rsidRPr="000B2BB5">
              <w:rPr>
                <w:color w:val="111111"/>
              </w:rPr>
              <w:t>Alessandro Bombaci</w:t>
            </w:r>
            <w:r>
              <w:rPr>
                <w:color w:val="111111"/>
              </w:rPr>
              <w:t xml:space="preserve">, et al. </w:t>
            </w:r>
          </w:p>
          <w:p w14:paraId="326162E1" w14:textId="77777777" w:rsidR="00B67216" w:rsidRPr="000B2BB5" w:rsidRDefault="00B67216" w:rsidP="005F53BB">
            <w:pPr>
              <w:rPr>
                <w:rFonts w:ascii="Times New Roman" w:hAnsi="Times New Roman" w:cs="Times New Roman"/>
              </w:rPr>
            </w:pPr>
          </w:p>
        </w:tc>
        <w:tc>
          <w:tcPr>
            <w:tcW w:w="1549" w:type="dxa"/>
          </w:tcPr>
          <w:p w14:paraId="5D1B1014" w14:textId="77777777" w:rsidR="00B67216" w:rsidRPr="000B2BB5" w:rsidRDefault="00B67216" w:rsidP="005F53BB">
            <w:pPr>
              <w:rPr>
                <w:rFonts w:ascii="Times New Roman" w:hAnsi="Times New Roman" w:cs="Times New Roman"/>
              </w:rPr>
            </w:pPr>
            <w:r>
              <w:rPr>
                <w:rFonts w:ascii="Times New Roman" w:hAnsi="Times New Roman" w:cs="Times New Roman"/>
              </w:rPr>
              <w:t>Review Article</w:t>
            </w:r>
          </w:p>
        </w:tc>
        <w:tc>
          <w:tcPr>
            <w:tcW w:w="3465" w:type="dxa"/>
          </w:tcPr>
          <w:p w14:paraId="7244ADE6" w14:textId="73B31633" w:rsidR="00B67216" w:rsidRPr="000B2BB5" w:rsidRDefault="00B67216" w:rsidP="005F53BB">
            <w:pPr>
              <w:rPr>
                <w:rFonts w:ascii="Times New Roman" w:hAnsi="Times New Roman" w:cs="Times New Roman"/>
              </w:rPr>
            </w:pPr>
            <w:r>
              <w:rPr>
                <w:rFonts w:ascii="Times New Roman" w:hAnsi="Times New Roman" w:cs="Times New Roman"/>
              </w:rPr>
              <w:t>Membahas penggunaan alat digital untuk memonitor pasien ALS dari jarak jauh. Penulis menyarankan sebuah alat untuk meningkatkan penanganan ALS selama situasi pandemi COVID-19 sebagai fokus pada mendeteksi progresi penyakit dan mencegah kondisi perburukan.</w:t>
            </w:r>
          </w:p>
        </w:tc>
        <w:tc>
          <w:tcPr>
            <w:tcW w:w="3355" w:type="dxa"/>
          </w:tcPr>
          <w:p w14:paraId="4FD03A34" w14:textId="77777777" w:rsidR="00B67216" w:rsidRPr="0027042E" w:rsidRDefault="00B67216" w:rsidP="005F53BB">
            <w:pPr>
              <w:rPr>
                <w:rFonts w:ascii="Times New Roman" w:hAnsi="Times New Roman" w:cs="Times New Roman"/>
              </w:rPr>
            </w:pPr>
            <w:r w:rsidRPr="0027042E">
              <w:rPr>
                <w:rFonts w:ascii="Times New Roman" w:hAnsi="Times New Roman" w:cs="Times New Roman"/>
              </w:rPr>
              <w:t xml:space="preserve">Pemeriksaan neurologis melalui tautan audio-video menunjukan hasil yang bais setara dengan pemeriksaan langung atau </w:t>
            </w:r>
            <w:r w:rsidRPr="0027042E">
              <w:rPr>
                <w:rFonts w:ascii="Times New Roman" w:hAnsi="Times New Roman" w:cs="Times New Roman"/>
                <w:i/>
              </w:rPr>
              <w:t>bedside examination</w:t>
            </w:r>
            <w:r w:rsidRPr="0027042E">
              <w:rPr>
                <w:rFonts w:ascii="Times New Roman" w:hAnsi="Times New Roman" w:cs="Times New Roman"/>
              </w:rPr>
              <w:t>, meski dengan keterbatasan untuk menilai tonus otot, sensasi getaran, dan reflex tendon dalam.</w:t>
            </w:r>
            <w:r>
              <w:rPr>
                <w:rFonts w:ascii="Times New Roman" w:hAnsi="Times New Roman" w:cs="Times New Roman"/>
              </w:rPr>
              <w:t xml:space="preserve"> Untuk menghadapi keterbatasan tersebut maka diciptakan alat yang diharapkan membantu pemeriksaan neurologis jarak jauh. </w:t>
            </w:r>
          </w:p>
          <w:p w14:paraId="0255BB3B" w14:textId="77777777" w:rsidR="00B67216" w:rsidRDefault="00B67216" w:rsidP="005F53BB">
            <w:pPr>
              <w:pStyle w:val="ListParagraph"/>
              <w:numPr>
                <w:ilvl w:val="0"/>
                <w:numId w:val="1"/>
              </w:numPr>
              <w:ind w:left="319"/>
              <w:rPr>
                <w:rFonts w:ascii="Times New Roman" w:hAnsi="Times New Roman" w:cs="Times New Roman"/>
              </w:rPr>
            </w:pPr>
            <w:r>
              <w:rPr>
                <w:rFonts w:ascii="Times New Roman" w:hAnsi="Times New Roman" w:cs="Times New Roman"/>
              </w:rPr>
              <w:t xml:space="preserve">Alat yang dapat dipakai, dan memiliki akselerometer untuk menilai aktivitas motoric dan frekuensi jantung. </w:t>
            </w:r>
          </w:p>
          <w:p w14:paraId="2DFC6DD9" w14:textId="77777777" w:rsidR="00B67216" w:rsidRDefault="00B67216" w:rsidP="005F53BB">
            <w:pPr>
              <w:pStyle w:val="ListParagraph"/>
              <w:numPr>
                <w:ilvl w:val="0"/>
                <w:numId w:val="1"/>
              </w:numPr>
              <w:ind w:left="319"/>
              <w:rPr>
                <w:rFonts w:ascii="Times New Roman" w:hAnsi="Times New Roman" w:cs="Times New Roman"/>
              </w:rPr>
            </w:pPr>
            <w:r>
              <w:rPr>
                <w:rFonts w:ascii="Times New Roman" w:hAnsi="Times New Roman" w:cs="Times New Roman"/>
              </w:rPr>
              <w:lastRenderedPageBreak/>
              <w:t xml:space="preserve">Memonitor pernapasan pasien melalui </w:t>
            </w:r>
            <w:r>
              <w:rPr>
                <w:rFonts w:ascii="Times New Roman" w:hAnsi="Times New Roman" w:cs="Times New Roman"/>
                <w:i/>
              </w:rPr>
              <w:t>videoconference</w:t>
            </w:r>
            <w:r>
              <w:rPr>
                <w:rFonts w:ascii="Times New Roman" w:hAnsi="Times New Roman" w:cs="Times New Roman"/>
              </w:rPr>
              <w:t xml:space="preserve"> atau </w:t>
            </w:r>
            <w:r>
              <w:rPr>
                <w:rFonts w:ascii="Times New Roman" w:hAnsi="Times New Roman" w:cs="Times New Roman"/>
                <w:i/>
              </w:rPr>
              <w:t xml:space="preserve">homebased self-monitoring </w:t>
            </w:r>
            <w:r>
              <w:rPr>
                <w:rFonts w:ascii="Times New Roman" w:hAnsi="Times New Roman" w:cs="Times New Roman"/>
              </w:rPr>
              <w:t xml:space="preserve">dapat digunakan dalam </w:t>
            </w:r>
            <w:r>
              <w:rPr>
                <w:rFonts w:ascii="Times New Roman" w:hAnsi="Times New Roman" w:cs="Times New Roman"/>
                <w:i/>
              </w:rPr>
              <w:t>telemedicince</w:t>
            </w:r>
            <w:r>
              <w:rPr>
                <w:rFonts w:ascii="Times New Roman" w:hAnsi="Times New Roman" w:cs="Times New Roman"/>
              </w:rPr>
              <w:t xml:space="preserve"> untuk mengurangi morbiditas dan mortalitas</w:t>
            </w:r>
          </w:p>
          <w:p w14:paraId="480EE624" w14:textId="77777777" w:rsidR="00B67216" w:rsidRDefault="00B67216" w:rsidP="005F53BB">
            <w:pPr>
              <w:pStyle w:val="ListParagraph"/>
              <w:numPr>
                <w:ilvl w:val="0"/>
                <w:numId w:val="1"/>
              </w:numPr>
              <w:ind w:left="319"/>
              <w:rPr>
                <w:rFonts w:ascii="Times New Roman" w:hAnsi="Times New Roman" w:cs="Times New Roman"/>
              </w:rPr>
            </w:pPr>
            <w:r>
              <w:rPr>
                <w:rFonts w:ascii="Times New Roman" w:hAnsi="Times New Roman" w:cs="Times New Roman"/>
              </w:rPr>
              <w:t xml:space="preserve">Fungsi bulbar dapat diketahui dengan analisis rekaman cara pasien membaca sebuah paragraph dengan kencang. Evaluase persentase waktu </w:t>
            </w:r>
            <w:r>
              <w:rPr>
                <w:rFonts w:ascii="Times New Roman" w:hAnsi="Times New Roman" w:cs="Times New Roman"/>
                <w:i/>
              </w:rPr>
              <w:t>pause</w:t>
            </w:r>
            <w:r>
              <w:rPr>
                <w:rFonts w:ascii="Times New Roman" w:hAnsi="Times New Roman" w:cs="Times New Roman"/>
              </w:rPr>
              <w:t xml:space="preserve"> dalam detik (marker kemampuan berbicara) merupakan </w:t>
            </w:r>
            <w:r>
              <w:rPr>
                <w:rFonts w:ascii="Times New Roman" w:hAnsi="Times New Roman" w:cs="Times New Roman"/>
                <w:i/>
              </w:rPr>
              <w:t>marker</w:t>
            </w:r>
            <w:r>
              <w:rPr>
                <w:rFonts w:ascii="Times New Roman" w:hAnsi="Times New Roman" w:cs="Times New Roman"/>
              </w:rPr>
              <w:t xml:space="preserve"> yang penting pada keterlibatan bulbar pada pasien ALS. </w:t>
            </w:r>
          </w:p>
          <w:p w14:paraId="7E9FC86B" w14:textId="77777777" w:rsidR="00B67216" w:rsidRDefault="00B67216" w:rsidP="005F53BB">
            <w:pPr>
              <w:pStyle w:val="ListParagraph"/>
              <w:numPr>
                <w:ilvl w:val="0"/>
                <w:numId w:val="1"/>
              </w:numPr>
              <w:ind w:left="319"/>
              <w:rPr>
                <w:rFonts w:ascii="Times New Roman" w:hAnsi="Times New Roman" w:cs="Times New Roman"/>
              </w:rPr>
            </w:pPr>
            <w:r>
              <w:rPr>
                <w:rFonts w:ascii="Times New Roman" w:hAnsi="Times New Roman" w:cs="Times New Roman"/>
              </w:rPr>
              <w:t xml:space="preserve">Status nutrisi dinilai dengan aplikasi Nu Planit dengan adanya fasilitas pengingat dan penilaian. Pasien dapat merekam kebiasaan makan dan berat badan. Berdasarkan rekaman naik turunnya berat badan pasien, ahli gizi dapat mengakses aplikasi untuk memodifikasi rekomendasi diet pasien. </w:t>
            </w:r>
          </w:p>
          <w:p w14:paraId="52D8ACCD" w14:textId="77777777" w:rsidR="00B67216" w:rsidRPr="0027042E" w:rsidRDefault="00B67216" w:rsidP="005F53BB">
            <w:pPr>
              <w:pStyle w:val="ListParagraph"/>
              <w:numPr>
                <w:ilvl w:val="0"/>
                <w:numId w:val="1"/>
              </w:numPr>
              <w:ind w:left="319"/>
              <w:rPr>
                <w:rFonts w:ascii="Times New Roman" w:hAnsi="Times New Roman" w:cs="Times New Roman"/>
              </w:rPr>
            </w:pPr>
            <w:r>
              <w:rPr>
                <w:rFonts w:ascii="Times New Roman" w:hAnsi="Times New Roman" w:cs="Times New Roman"/>
              </w:rPr>
              <w:t xml:space="preserve">Tersedianya layanan konsultasi dengan psikolog, </w:t>
            </w:r>
            <w:r>
              <w:rPr>
                <w:rFonts w:ascii="Times New Roman" w:hAnsi="Times New Roman" w:cs="Times New Roman"/>
              </w:rPr>
              <w:lastRenderedPageBreak/>
              <w:t xml:space="preserve">namun tidak banyak pasien yang menggunakannya. </w:t>
            </w:r>
          </w:p>
        </w:tc>
      </w:tr>
      <w:tr w:rsidR="00B67216" w:rsidRPr="000B2BB5" w14:paraId="49FF55B1" w14:textId="77777777" w:rsidTr="003417A7">
        <w:trPr>
          <w:trHeight w:val="5518"/>
        </w:trPr>
        <w:tc>
          <w:tcPr>
            <w:tcW w:w="626" w:type="dxa"/>
          </w:tcPr>
          <w:p w14:paraId="53CA9399" w14:textId="321E6422" w:rsidR="00B67216" w:rsidRPr="000B2BB5" w:rsidRDefault="00B67216" w:rsidP="005F53BB">
            <w:pPr>
              <w:rPr>
                <w:rFonts w:ascii="Times New Roman" w:hAnsi="Times New Roman" w:cs="Times New Roman"/>
              </w:rPr>
            </w:pPr>
            <w:r>
              <w:rPr>
                <w:rFonts w:ascii="Times New Roman" w:hAnsi="Times New Roman" w:cs="Times New Roman"/>
              </w:rPr>
              <w:lastRenderedPageBreak/>
              <w:t>3</w:t>
            </w:r>
          </w:p>
        </w:tc>
        <w:tc>
          <w:tcPr>
            <w:tcW w:w="2378" w:type="dxa"/>
          </w:tcPr>
          <w:p w14:paraId="1D8D3DEF" w14:textId="77777777" w:rsidR="00B67216" w:rsidRDefault="00B67216" w:rsidP="005F53BB">
            <w:pPr>
              <w:pStyle w:val="NormalWeb"/>
            </w:pPr>
            <w:r w:rsidRPr="005866FF">
              <w:rPr>
                <w:bCs/>
              </w:rPr>
              <w:t>Ocular surface assessment in times</w:t>
            </w:r>
            <w:r w:rsidRPr="005866FF">
              <w:rPr>
                <w:bCs/>
              </w:rPr>
              <w:br/>
              <w:t>of sanitary crisis: What lessons and solutions for the present and the future?</w:t>
            </w:r>
            <w:r>
              <w:rPr>
                <w:rFonts w:ascii="GillSansMTPro" w:hAnsi="GillSansMTPro"/>
                <w:b/>
                <w:bCs/>
                <w:sz w:val="36"/>
                <w:szCs w:val="36"/>
              </w:rPr>
              <w:t xml:space="preserve"> </w:t>
            </w:r>
          </w:p>
          <w:p w14:paraId="4E8DBC23" w14:textId="77777777" w:rsidR="00B67216" w:rsidRPr="000B2BB5" w:rsidRDefault="00B67216" w:rsidP="005F53BB">
            <w:pPr>
              <w:rPr>
                <w:rFonts w:ascii="Times New Roman" w:hAnsi="Times New Roman" w:cs="Times New Roman"/>
              </w:rPr>
            </w:pPr>
          </w:p>
        </w:tc>
        <w:tc>
          <w:tcPr>
            <w:tcW w:w="2469" w:type="dxa"/>
          </w:tcPr>
          <w:p w14:paraId="2E775B0A" w14:textId="31213069" w:rsidR="00B67216" w:rsidRPr="005866FF" w:rsidRDefault="00B67216" w:rsidP="005F53BB">
            <w:pPr>
              <w:pStyle w:val="NormalWeb"/>
            </w:pPr>
            <w:r w:rsidRPr="005866FF">
              <w:rPr>
                <w:bCs/>
              </w:rPr>
              <w:t>Marc Labetoull</w:t>
            </w:r>
            <w:r>
              <w:rPr>
                <w:bCs/>
              </w:rPr>
              <w:t xml:space="preserve">e, et al. </w:t>
            </w:r>
          </w:p>
          <w:p w14:paraId="33EC5DAF" w14:textId="77777777" w:rsidR="00B67216" w:rsidRPr="005866FF" w:rsidRDefault="00B67216" w:rsidP="005F53BB">
            <w:pPr>
              <w:jc w:val="center"/>
              <w:rPr>
                <w:rFonts w:ascii="Times New Roman" w:hAnsi="Times New Roman" w:cs="Times New Roman"/>
              </w:rPr>
            </w:pPr>
          </w:p>
        </w:tc>
        <w:tc>
          <w:tcPr>
            <w:tcW w:w="1549" w:type="dxa"/>
          </w:tcPr>
          <w:p w14:paraId="0DD2CE41" w14:textId="77777777" w:rsidR="00B67216" w:rsidRPr="000B2BB5" w:rsidRDefault="00B67216" w:rsidP="005F53BB">
            <w:pPr>
              <w:rPr>
                <w:rFonts w:ascii="Times New Roman" w:hAnsi="Times New Roman" w:cs="Times New Roman"/>
              </w:rPr>
            </w:pPr>
            <w:r>
              <w:rPr>
                <w:rFonts w:ascii="Times New Roman" w:hAnsi="Times New Roman" w:cs="Times New Roman"/>
              </w:rPr>
              <w:t>Perspective Article</w:t>
            </w:r>
          </w:p>
        </w:tc>
        <w:tc>
          <w:tcPr>
            <w:tcW w:w="3465" w:type="dxa"/>
          </w:tcPr>
          <w:p w14:paraId="6B3F589F" w14:textId="528878ED" w:rsidR="00B67216" w:rsidRPr="00B67216" w:rsidRDefault="00B67216" w:rsidP="005F53BB">
            <w:pPr>
              <w:rPr>
                <w:rFonts w:ascii="Times New Roman" w:hAnsi="Times New Roman" w:cs="Times New Roman"/>
              </w:rPr>
            </w:pPr>
            <w:r>
              <w:rPr>
                <w:rFonts w:ascii="Times New Roman" w:hAnsi="Times New Roman" w:cs="Times New Roman"/>
              </w:rPr>
              <w:t xml:space="preserve">Artikel ini membahas penggunaan </w:t>
            </w:r>
            <w:r>
              <w:rPr>
                <w:rFonts w:ascii="Times New Roman" w:hAnsi="Times New Roman" w:cs="Times New Roman"/>
                <w:i/>
              </w:rPr>
              <w:t>telemedicine</w:t>
            </w:r>
            <w:r>
              <w:rPr>
                <w:rFonts w:ascii="Times New Roman" w:hAnsi="Times New Roman" w:cs="Times New Roman"/>
              </w:rPr>
              <w:t xml:space="preserve"> pada bidang ophtalmologi, mengetahui kegawatdaruratan mata pada pasien. </w:t>
            </w:r>
          </w:p>
        </w:tc>
        <w:tc>
          <w:tcPr>
            <w:tcW w:w="3355" w:type="dxa"/>
          </w:tcPr>
          <w:p w14:paraId="7837B0C3" w14:textId="77777777" w:rsidR="00B67216" w:rsidRDefault="00B67216" w:rsidP="00B67216">
            <w:pPr>
              <w:tabs>
                <w:tab w:val="left" w:pos="289"/>
              </w:tabs>
              <w:rPr>
                <w:rFonts w:ascii="Times New Roman" w:hAnsi="Times New Roman" w:cs="Times New Roman"/>
              </w:rPr>
            </w:pPr>
            <w:r>
              <w:rPr>
                <w:rFonts w:ascii="Times New Roman" w:hAnsi="Times New Roman" w:cs="Times New Roman"/>
              </w:rPr>
              <w:t xml:space="preserve">Pada bidang Ophtalmologi, </w:t>
            </w:r>
            <w:r>
              <w:rPr>
                <w:rFonts w:ascii="Times New Roman" w:hAnsi="Times New Roman" w:cs="Times New Roman"/>
                <w:i/>
              </w:rPr>
              <w:t>telemedicine</w:t>
            </w:r>
            <w:r>
              <w:rPr>
                <w:rFonts w:ascii="Times New Roman" w:hAnsi="Times New Roman" w:cs="Times New Roman"/>
              </w:rPr>
              <w:t xml:space="preserve"> dapat berperan sebagai </w:t>
            </w:r>
            <w:r>
              <w:rPr>
                <w:rFonts w:ascii="Times New Roman" w:hAnsi="Times New Roman" w:cs="Times New Roman"/>
                <w:i/>
              </w:rPr>
              <w:t>telescreening.</w:t>
            </w:r>
            <w:r>
              <w:rPr>
                <w:rFonts w:ascii="Times New Roman" w:hAnsi="Times New Roman" w:cs="Times New Roman"/>
              </w:rPr>
              <w:t xml:space="preserve"> Informasi dapat ditanyakan kepada pasien untuk membedakan apakah pasien perlu datang langsung ke rumah sakit atau tidak. </w:t>
            </w:r>
          </w:p>
          <w:p w14:paraId="0B85235A" w14:textId="77777777" w:rsidR="00B67216" w:rsidRDefault="00B67216" w:rsidP="00B67216">
            <w:pPr>
              <w:pStyle w:val="ListParagraph"/>
              <w:numPr>
                <w:ilvl w:val="0"/>
                <w:numId w:val="2"/>
              </w:numPr>
              <w:tabs>
                <w:tab w:val="left" w:pos="289"/>
              </w:tabs>
              <w:ind w:left="289"/>
              <w:rPr>
                <w:rFonts w:ascii="Times New Roman" w:hAnsi="Times New Roman" w:cs="Times New Roman"/>
              </w:rPr>
            </w:pPr>
            <w:r>
              <w:rPr>
                <w:rFonts w:ascii="Times New Roman" w:hAnsi="Times New Roman" w:cs="Times New Roman"/>
              </w:rPr>
              <w:t xml:space="preserve">Pada pasien dengan penyakit permukaan ocular dengan fungsi pengelihatan baik, dibuat estimasi Degnan cara menanyakan kepada pasien apakah bisa membedakan benda-benda kecil di jarak jauh. Kerabat dekat juga bisa diminta tolong dengan melakukan hitung jari di jarak 5m, yang setara dengan 20/400 pada diagram Snellen. </w:t>
            </w:r>
          </w:p>
          <w:p w14:paraId="0DA9E693" w14:textId="77777777" w:rsidR="00B67216" w:rsidRPr="00E33C4E" w:rsidRDefault="00B67216" w:rsidP="00B67216">
            <w:pPr>
              <w:pStyle w:val="ListParagraph"/>
              <w:numPr>
                <w:ilvl w:val="0"/>
                <w:numId w:val="2"/>
              </w:numPr>
              <w:tabs>
                <w:tab w:val="left" w:pos="289"/>
              </w:tabs>
              <w:ind w:left="289"/>
              <w:rPr>
                <w:rFonts w:ascii="Times New Roman" w:hAnsi="Times New Roman" w:cs="Times New Roman"/>
              </w:rPr>
            </w:pPr>
            <w:r>
              <w:rPr>
                <w:rFonts w:ascii="Times New Roman" w:hAnsi="Times New Roman" w:cs="Times New Roman"/>
              </w:rPr>
              <w:t xml:space="preserve">Pasien dengan nyeri mata, dengan batas tidak tegas atau hiperemis konjungtiva terlokalisasi dan tanpa penurunan visus, harus segera datang ke rumah sakit untuk mengeluarkan skleritis yang emrupakan kasus emergensi mata, yang mungkin juga dapat mengarah ke penyakit sistemik bawaan. </w:t>
            </w:r>
          </w:p>
        </w:tc>
      </w:tr>
      <w:tr w:rsidR="00B67216" w:rsidRPr="000B2BB5" w14:paraId="21A50091" w14:textId="77777777" w:rsidTr="003417A7">
        <w:trPr>
          <w:trHeight w:val="3598"/>
        </w:trPr>
        <w:tc>
          <w:tcPr>
            <w:tcW w:w="626" w:type="dxa"/>
          </w:tcPr>
          <w:p w14:paraId="54972B18" w14:textId="3BD39A2C" w:rsidR="00B67216" w:rsidRPr="00927487" w:rsidRDefault="00B67216" w:rsidP="005F53BB">
            <w:pPr>
              <w:rPr>
                <w:rFonts w:ascii="Times New Roman" w:hAnsi="Times New Roman" w:cs="Times New Roman"/>
              </w:rPr>
            </w:pPr>
            <w:r>
              <w:rPr>
                <w:rFonts w:ascii="Times New Roman" w:hAnsi="Times New Roman" w:cs="Times New Roman"/>
              </w:rPr>
              <w:lastRenderedPageBreak/>
              <w:t>4</w:t>
            </w:r>
            <w:r w:rsidRPr="00927487">
              <w:rPr>
                <w:rFonts w:ascii="Times New Roman" w:hAnsi="Times New Roman" w:cs="Times New Roman"/>
              </w:rPr>
              <w:t xml:space="preserve"> </w:t>
            </w:r>
          </w:p>
        </w:tc>
        <w:tc>
          <w:tcPr>
            <w:tcW w:w="2378" w:type="dxa"/>
          </w:tcPr>
          <w:p w14:paraId="465D2916" w14:textId="77777777" w:rsidR="00B67216" w:rsidRPr="00927487" w:rsidRDefault="00B67216" w:rsidP="005F53BB">
            <w:pPr>
              <w:pStyle w:val="NormalWeb"/>
            </w:pPr>
            <w:r w:rsidRPr="00927487">
              <w:t>Telemedicine in the Era of COVID-19</w:t>
            </w:r>
            <w:r>
              <w:t xml:space="preserve">: </w:t>
            </w:r>
            <w:r w:rsidRPr="00927487">
              <w:t>The Virtual Orthopaedic Examination</w:t>
            </w:r>
          </w:p>
          <w:p w14:paraId="7EFE0402" w14:textId="77777777" w:rsidR="00B67216" w:rsidRPr="00927487" w:rsidRDefault="00B67216" w:rsidP="005F53BB">
            <w:pPr>
              <w:rPr>
                <w:rFonts w:ascii="Times New Roman" w:hAnsi="Times New Roman" w:cs="Times New Roman"/>
              </w:rPr>
            </w:pPr>
          </w:p>
        </w:tc>
        <w:tc>
          <w:tcPr>
            <w:tcW w:w="2469" w:type="dxa"/>
          </w:tcPr>
          <w:p w14:paraId="71ECCAD1" w14:textId="77777777" w:rsidR="00B67216" w:rsidRDefault="00B67216" w:rsidP="005F53BB">
            <w:pPr>
              <w:pStyle w:val="NormalWeb"/>
            </w:pPr>
            <w:r>
              <w:rPr>
                <w:rFonts w:ascii="AdvOT77db9845" w:hAnsi="AdvOT77db9845"/>
                <w:sz w:val="20"/>
                <w:szCs w:val="20"/>
              </w:rPr>
              <w:t xml:space="preserve">Miho J. Tanaka, MD, Luke S. Oh, MD, Scott D. Martin, MD, and Eric M. Berkson, MD </w:t>
            </w:r>
          </w:p>
          <w:p w14:paraId="242DAB24" w14:textId="77777777" w:rsidR="00B67216" w:rsidRPr="000B2BB5" w:rsidRDefault="00B67216" w:rsidP="005F53BB">
            <w:pPr>
              <w:rPr>
                <w:rFonts w:ascii="Times New Roman" w:hAnsi="Times New Roman" w:cs="Times New Roman"/>
              </w:rPr>
            </w:pPr>
          </w:p>
        </w:tc>
        <w:tc>
          <w:tcPr>
            <w:tcW w:w="1549" w:type="dxa"/>
          </w:tcPr>
          <w:p w14:paraId="070B3742" w14:textId="77777777" w:rsidR="00B67216" w:rsidRPr="000B2BB5" w:rsidRDefault="00B67216" w:rsidP="005F53BB">
            <w:pPr>
              <w:rPr>
                <w:rFonts w:ascii="Times New Roman" w:hAnsi="Times New Roman" w:cs="Times New Roman"/>
              </w:rPr>
            </w:pPr>
          </w:p>
        </w:tc>
        <w:tc>
          <w:tcPr>
            <w:tcW w:w="3465" w:type="dxa"/>
          </w:tcPr>
          <w:p w14:paraId="545394C6" w14:textId="5475DE3E" w:rsidR="00B67216" w:rsidRPr="00927487" w:rsidRDefault="00B67216" w:rsidP="005F53BB">
            <w:pPr>
              <w:rPr>
                <w:rFonts w:ascii="Times New Roman" w:hAnsi="Times New Roman" w:cs="Times New Roman"/>
              </w:rPr>
            </w:pPr>
            <w:r>
              <w:rPr>
                <w:rFonts w:ascii="Times New Roman" w:hAnsi="Times New Roman" w:cs="Times New Roman"/>
              </w:rPr>
              <w:t xml:space="preserve">Artikel ini melaporkan pengalaman menggunakan protokol dan metode untuk menstandardisasi pemeriksaan ortopedi untuk mendapatkan manfaat dan efisiensi yang maksimal dari pemeriksaan ortopedi virtual. Saat waktu penjadwalan, pasien diminta untuk mempersiapkan hal-hal yang diperlukan saat kunjungan virtual dan diberikan sebuah </w:t>
            </w:r>
            <w:r>
              <w:rPr>
                <w:rFonts w:ascii="Times New Roman" w:hAnsi="Times New Roman" w:cs="Times New Roman"/>
                <w:i/>
              </w:rPr>
              <w:t>checklist</w:t>
            </w:r>
            <w:r>
              <w:rPr>
                <w:rFonts w:ascii="Times New Roman" w:hAnsi="Times New Roman" w:cs="Times New Roman"/>
              </w:rPr>
              <w:t xml:space="preserve">. Selain memastikan koneksi audiovisual sebelum kunjungan, pasien juga diberikan instruksi dalam cara memposisikan kamera, tubuh, pengaturan, dan hal-hal lain yang dibutuhkan untuk meningkatkan efisiensi kunjungan. </w:t>
            </w:r>
          </w:p>
        </w:tc>
        <w:tc>
          <w:tcPr>
            <w:tcW w:w="3355" w:type="dxa"/>
          </w:tcPr>
          <w:p w14:paraId="257F59CE" w14:textId="77777777" w:rsidR="00B67216" w:rsidRPr="00927487" w:rsidRDefault="00B67216" w:rsidP="005F53BB">
            <w:pPr>
              <w:rPr>
                <w:rFonts w:ascii="Times New Roman" w:hAnsi="Times New Roman" w:cs="Times New Roman"/>
              </w:rPr>
            </w:pPr>
            <w:r>
              <w:rPr>
                <w:rFonts w:ascii="Times New Roman" w:hAnsi="Times New Roman" w:cs="Times New Roman"/>
              </w:rPr>
              <w:t xml:space="preserve">Pada artikel ini pemeriksaan fisik dapat dilakukan pemeriksaan ortopedi pada lutut, pinggul, bahu, dan siku, dengan menggunakan kamera yang dapat digunakan sebagai goniometer dan terhubung ke </w:t>
            </w:r>
            <w:r w:rsidRPr="00300AA3">
              <w:rPr>
                <w:rFonts w:ascii="Times New Roman" w:hAnsi="Times New Roman" w:cs="Times New Roman"/>
              </w:rPr>
              <w:t>aplikasi</w:t>
            </w:r>
            <w:r>
              <w:rPr>
                <w:rFonts w:ascii="Times New Roman" w:hAnsi="Times New Roman" w:cs="Times New Roman"/>
              </w:rPr>
              <w:t xml:space="preserve"> yang digunakan seperti </w:t>
            </w:r>
            <w:r>
              <w:rPr>
                <w:rFonts w:ascii="Times New Roman" w:hAnsi="Times New Roman" w:cs="Times New Roman"/>
                <w:i/>
              </w:rPr>
              <w:t xml:space="preserve">Zoom, InTouch Health, </w:t>
            </w:r>
            <w:r>
              <w:rPr>
                <w:rFonts w:ascii="Times New Roman" w:hAnsi="Times New Roman" w:cs="Times New Roman"/>
              </w:rPr>
              <w:t xml:space="preserve">dan Doxy.me) ketika digunakan melalui </w:t>
            </w:r>
            <w:r>
              <w:rPr>
                <w:rFonts w:ascii="Times New Roman" w:hAnsi="Times New Roman" w:cs="Times New Roman"/>
                <w:i/>
              </w:rPr>
              <w:t>Google Chrome</w:t>
            </w:r>
            <w:r>
              <w:rPr>
                <w:rFonts w:ascii="Times New Roman" w:hAnsi="Times New Roman" w:cs="Times New Roman"/>
              </w:rPr>
              <w:t xml:space="preserve">. Pemeriksaan dengan goniometer dilakukan untuk mengetahui apakah ada atrofi, asimetri, dan memeriksa </w:t>
            </w:r>
            <w:r>
              <w:rPr>
                <w:rFonts w:ascii="Times New Roman" w:hAnsi="Times New Roman" w:cs="Times New Roman"/>
                <w:i/>
              </w:rPr>
              <w:t>Range of Motion</w:t>
            </w:r>
            <w:r>
              <w:rPr>
                <w:rFonts w:ascii="Times New Roman" w:hAnsi="Times New Roman" w:cs="Times New Roman"/>
              </w:rPr>
              <w:t xml:space="preserve"> pada bagian tubuh pasien yang diperiksa. </w:t>
            </w:r>
          </w:p>
        </w:tc>
      </w:tr>
      <w:tr w:rsidR="00B67216" w:rsidRPr="000B2BB5" w14:paraId="524FC6BB" w14:textId="77777777" w:rsidTr="003417A7">
        <w:trPr>
          <w:trHeight w:val="4406"/>
        </w:trPr>
        <w:tc>
          <w:tcPr>
            <w:tcW w:w="626" w:type="dxa"/>
          </w:tcPr>
          <w:p w14:paraId="52136E27" w14:textId="6D1778F7" w:rsidR="00B67216" w:rsidRPr="000B2BB5" w:rsidRDefault="00B67216" w:rsidP="005F53BB">
            <w:pPr>
              <w:rPr>
                <w:rFonts w:ascii="Times New Roman" w:hAnsi="Times New Roman" w:cs="Times New Roman"/>
              </w:rPr>
            </w:pPr>
            <w:r>
              <w:rPr>
                <w:rFonts w:ascii="Times New Roman" w:hAnsi="Times New Roman" w:cs="Times New Roman"/>
              </w:rPr>
              <w:lastRenderedPageBreak/>
              <w:t>5</w:t>
            </w:r>
          </w:p>
        </w:tc>
        <w:tc>
          <w:tcPr>
            <w:tcW w:w="2378" w:type="dxa"/>
          </w:tcPr>
          <w:p w14:paraId="4E759FD7" w14:textId="77777777" w:rsidR="00B67216" w:rsidRDefault="00B67216" w:rsidP="005F53BB">
            <w:pPr>
              <w:pStyle w:val="NormalWeb"/>
            </w:pPr>
            <w:r>
              <w:rPr>
                <w:rFonts w:ascii="AdvOT596495f2" w:hAnsi="AdvOT596495f2"/>
                <w:sz w:val="26"/>
                <w:szCs w:val="26"/>
              </w:rPr>
              <w:t xml:space="preserve">Challenges and strategies in management of osteoporosis and fragility </w:t>
            </w:r>
            <w:r>
              <w:rPr>
                <w:rFonts w:ascii="CharisSIL" w:hAnsi="CharisSIL"/>
                <w:position w:val="-14"/>
                <w:sz w:val="20"/>
                <w:szCs w:val="20"/>
              </w:rPr>
              <w:t xml:space="preserve">T </w:t>
            </w:r>
            <w:r>
              <w:rPr>
                <w:rFonts w:ascii="AdvOT596495f2" w:hAnsi="AdvOT596495f2"/>
                <w:sz w:val="26"/>
                <w:szCs w:val="26"/>
              </w:rPr>
              <w:t xml:space="preserve">fracture care during COVID-19 pandemic </w:t>
            </w:r>
          </w:p>
          <w:p w14:paraId="1181D480" w14:textId="77777777" w:rsidR="00B67216" w:rsidRPr="000B2BB5" w:rsidRDefault="00B67216" w:rsidP="005F53BB">
            <w:pPr>
              <w:rPr>
                <w:rFonts w:ascii="Times New Roman" w:hAnsi="Times New Roman" w:cs="Times New Roman"/>
              </w:rPr>
            </w:pPr>
          </w:p>
        </w:tc>
        <w:tc>
          <w:tcPr>
            <w:tcW w:w="2469" w:type="dxa"/>
          </w:tcPr>
          <w:p w14:paraId="3CC1DA5D" w14:textId="77777777" w:rsidR="00B67216" w:rsidRDefault="00B67216" w:rsidP="005F53BB">
            <w:pPr>
              <w:pStyle w:val="NormalWeb"/>
            </w:pPr>
            <w:r>
              <w:rPr>
                <w:rFonts w:ascii="AdvOT596495f2" w:hAnsi="AdvOT596495f2"/>
                <w:sz w:val="22"/>
                <w:szCs w:val="22"/>
              </w:rPr>
              <w:t>Gaurav K. Upadhyaya</w:t>
            </w:r>
            <w:r>
              <w:rPr>
                <w:rFonts w:ascii="AdvOT596495f2" w:hAnsi="AdvOT596495f2"/>
                <w:position w:val="10"/>
                <w:sz w:val="14"/>
                <w:szCs w:val="14"/>
              </w:rPr>
              <w:t>a</w:t>
            </w:r>
            <w:r>
              <w:rPr>
                <w:rFonts w:ascii="AdvOT596495f2" w:hAnsi="AdvOT596495f2"/>
                <w:sz w:val="22"/>
                <w:szCs w:val="22"/>
              </w:rPr>
              <w:t>, Karthikeyan Iyengar</w:t>
            </w:r>
            <w:r>
              <w:rPr>
                <w:rFonts w:ascii="AdvOT596495f2" w:hAnsi="AdvOT596495f2"/>
                <w:position w:val="10"/>
                <w:sz w:val="14"/>
                <w:szCs w:val="14"/>
              </w:rPr>
              <w:t>b</w:t>
            </w:r>
            <w:r>
              <w:rPr>
                <w:rFonts w:ascii="AdvOT596495f2" w:hAnsi="AdvOT596495f2"/>
                <w:sz w:val="22"/>
                <w:szCs w:val="22"/>
              </w:rPr>
              <w:t>, Vijay K. Jain</w:t>
            </w:r>
            <w:r>
              <w:rPr>
                <w:rFonts w:ascii="AdvOT596495f2" w:hAnsi="AdvOT596495f2"/>
                <w:position w:val="10"/>
                <w:sz w:val="14"/>
                <w:szCs w:val="14"/>
              </w:rPr>
              <w:t>c,</w:t>
            </w:r>
            <w:r>
              <w:rPr>
                <w:rFonts w:ascii="AdvOT8608a8d1+22" w:hAnsi="AdvOT8608a8d1+22"/>
                <w:position w:val="10"/>
                <w:sz w:val="14"/>
                <w:szCs w:val="14"/>
              </w:rPr>
              <w:t>∗</w:t>
            </w:r>
            <w:r>
              <w:rPr>
                <w:rFonts w:ascii="AdvOT596495f2" w:hAnsi="AdvOT596495f2"/>
                <w:sz w:val="22"/>
                <w:szCs w:val="22"/>
              </w:rPr>
              <w:t>, Raju Vaishya</w:t>
            </w:r>
            <w:r>
              <w:rPr>
                <w:rFonts w:ascii="AdvOT596495f2" w:hAnsi="AdvOT596495f2"/>
                <w:position w:val="10"/>
                <w:sz w:val="14"/>
                <w:szCs w:val="14"/>
              </w:rPr>
              <w:t xml:space="preserve">d </w:t>
            </w:r>
          </w:p>
          <w:p w14:paraId="73E2ED89" w14:textId="77777777" w:rsidR="00B67216" w:rsidRPr="000B2BB5" w:rsidRDefault="00B67216" w:rsidP="005F53BB">
            <w:pPr>
              <w:rPr>
                <w:rFonts w:ascii="Times New Roman" w:hAnsi="Times New Roman" w:cs="Times New Roman"/>
              </w:rPr>
            </w:pPr>
          </w:p>
        </w:tc>
        <w:tc>
          <w:tcPr>
            <w:tcW w:w="1549" w:type="dxa"/>
          </w:tcPr>
          <w:p w14:paraId="63BF931C" w14:textId="77777777" w:rsidR="00B67216" w:rsidRPr="000B2BB5" w:rsidRDefault="00B67216" w:rsidP="005F53BB">
            <w:pPr>
              <w:rPr>
                <w:rFonts w:ascii="Times New Roman" w:hAnsi="Times New Roman" w:cs="Times New Roman"/>
              </w:rPr>
            </w:pPr>
            <w:r>
              <w:rPr>
                <w:rFonts w:ascii="Times New Roman" w:hAnsi="Times New Roman" w:cs="Times New Roman"/>
              </w:rPr>
              <w:t>Review Article</w:t>
            </w:r>
          </w:p>
        </w:tc>
        <w:tc>
          <w:tcPr>
            <w:tcW w:w="3465" w:type="dxa"/>
          </w:tcPr>
          <w:p w14:paraId="477B7A34" w14:textId="324B61D5" w:rsidR="00B67216" w:rsidRPr="000B2BB5" w:rsidRDefault="00B67216" w:rsidP="005F53BB">
            <w:pPr>
              <w:rPr>
                <w:rFonts w:ascii="Times New Roman" w:hAnsi="Times New Roman" w:cs="Times New Roman"/>
              </w:rPr>
            </w:pPr>
            <w:r>
              <w:rPr>
                <w:rFonts w:ascii="Times New Roman" w:hAnsi="Times New Roman" w:cs="Times New Roman"/>
              </w:rPr>
              <w:t xml:space="preserve">Penulis melakukan review komprehensif pada literature dengan menggunakan kata kunci pada mesin pencari PubMed, Scopus, Google Scholar, dan ResearcGate pada minggu pertama bulan May 2020. Pencarian dilakukan tentang perkembangan dan panduan selama pandemic COVID-19. </w:t>
            </w:r>
          </w:p>
        </w:tc>
        <w:tc>
          <w:tcPr>
            <w:tcW w:w="3355" w:type="dxa"/>
          </w:tcPr>
          <w:p w14:paraId="670BFF58" w14:textId="77777777" w:rsidR="00B67216" w:rsidRPr="007C3481" w:rsidRDefault="00B67216" w:rsidP="005F53BB">
            <w:pPr>
              <w:rPr>
                <w:rFonts w:ascii="Times New Roman" w:hAnsi="Times New Roman" w:cs="Times New Roman"/>
              </w:rPr>
            </w:pPr>
            <w:r>
              <w:rPr>
                <w:rFonts w:ascii="Times New Roman" w:hAnsi="Times New Roman" w:cs="Times New Roman"/>
              </w:rPr>
              <w:t xml:space="preserve">Penanganan osteoporosis dan fraktur karena kerapuhan tulang menjadi terkendala karena adanya </w:t>
            </w:r>
            <w:r>
              <w:rPr>
                <w:rFonts w:ascii="Times New Roman" w:hAnsi="Times New Roman" w:cs="Times New Roman"/>
                <w:i/>
              </w:rPr>
              <w:t>lock down</w:t>
            </w:r>
            <w:r>
              <w:rPr>
                <w:rFonts w:ascii="Times New Roman" w:hAnsi="Times New Roman" w:cs="Times New Roman"/>
              </w:rPr>
              <w:t xml:space="preserve"> dan penanganan penularan infeksi lain yang digunakan untuk meangani COVID-19. Akses terhadap pemeriksaan diagnostic, fasilitas terapi dengan menggunakan klinis dan prediksi untuk menunjang penanganan melalui </w:t>
            </w:r>
            <w:r>
              <w:rPr>
                <w:rFonts w:ascii="Times New Roman" w:hAnsi="Times New Roman" w:cs="Times New Roman"/>
                <w:i/>
              </w:rPr>
              <w:t>telemedicine</w:t>
            </w:r>
            <w:r>
              <w:rPr>
                <w:rFonts w:ascii="Times New Roman" w:hAnsi="Times New Roman" w:cs="Times New Roman"/>
              </w:rPr>
              <w:t xml:space="preserve"> memiliki peran yang penting. </w:t>
            </w:r>
          </w:p>
        </w:tc>
      </w:tr>
    </w:tbl>
    <w:p w14:paraId="5987E620" w14:textId="77777777" w:rsidR="00564CFB" w:rsidRPr="000B2BB5" w:rsidRDefault="00564CFB" w:rsidP="00564CFB">
      <w:pPr>
        <w:rPr>
          <w:rFonts w:ascii="Times New Roman" w:hAnsi="Times New Roman" w:cs="Times New Roman"/>
        </w:rPr>
      </w:pPr>
    </w:p>
    <w:p w14:paraId="6BD84493" w14:textId="77777777" w:rsidR="00DE5AD6" w:rsidRDefault="00CF5C3F"/>
    <w:sectPr w:rsidR="00DE5AD6" w:rsidSect="000B2BB5">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SansMTPro">
    <w:altName w:val="Cambria"/>
    <w:panose1 w:val="020B0604020202020204"/>
    <w:charset w:val="00"/>
    <w:family w:val="roman"/>
    <w:notTrueType/>
    <w:pitch w:val="default"/>
  </w:font>
  <w:font w:name="AdvOT77db9845">
    <w:altName w:val="Cambria"/>
    <w:panose1 w:val="020B0604020202020204"/>
    <w:charset w:val="00"/>
    <w:family w:val="roman"/>
    <w:notTrueType/>
    <w:pitch w:val="default"/>
  </w:font>
  <w:font w:name="AdvOT596495f2">
    <w:altName w:val="Cambria"/>
    <w:panose1 w:val="020B0604020202020204"/>
    <w:charset w:val="00"/>
    <w:family w:val="roman"/>
    <w:notTrueType/>
    <w:pitch w:val="default"/>
  </w:font>
  <w:font w:name="CharisSIL">
    <w:altName w:val="Cambria"/>
    <w:panose1 w:val="020B0604020202020204"/>
    <w:charset w:val="00"/>
    <w:family w:val="roman"/>
    <w:notTrueType/>
    <w:pitch w:val="default"/>
  </w:font>
  <w:font w:name="AdvOT8608a8d1+22">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DC18ED"/>
    <w:multiLevelType w:val="hybridMultilevel"/>
    <w:tmpl w:val="C2362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E17126"/>
    <w:multiLevelType w:val="hybridMultilevel"/>
    <w:tmpl w:val="98603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CFB"/>
    <w:rsid w:val="000C7C10"/>
    <w:rsid w:val="003417A7"/>
    <w:rsid w:val="00564CFB"/>
    <w:rsid w:val="005D004B"/>
    <w:rsid w:val="00742F27"/>
    <w:rsid w:val="0078573F"/>
    <w:rsid w:val="00965961"/>
    <w:rsid w:val="00B67216"/>
    <w:rsid w:val="00B77A79"/>
    <w:rsid w:val="00C4129C"/>
    <w:rsid w:val="00C7650E"/>
    <w:rsid w:val="00CB0575"/>
    <w:rsid w:val="00CF5C3F"/>
    <w:rsid w:val="00D6445A"/>
    <w:rsid w:val="00E40547"/>
    <w:rsid w:val="00FA56E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3831B15F"/>
  <w15:chartTrackingRefBased/>
  <w15:docId w15:val="{8AFDA458-46FD-9C4E-A8E9-AD23F70F5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4C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4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64CF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564CFB"/>
    <w:pPr>
      <w:ind w:left="720"/>
      <w:contextualSpacing/>
    </w:pPr>
  </w:style>
  <w:style w:type="paragraph" w:styleId="Caption">
    <w:name w:val="caption"/>
    <w:basedOn w:val="Normal"/>
    <w:next w:val="Normal"/>
    <w:uiPriority w:val="35"/>
    <w:unhideWhenUsed/>
    <w:qFormat/>
    <w:rsid w:val="00965961"/>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Selly Lengkong</dc:creator>
  <cp:keywords/>
  <dc:description/>
  <cp:lastModifiedBy>Selly Lengkong</cp:lastModifiedBy>
  <cp:revision>4</cp:revision>
  <dcterms:created xsi:type="dcterms:W3CDTF">2021-06-28T10:42:00Z</dcterms:created>
  <dcterms:modified xsi:type="dcterms:W3CDTF">2021-07-12T05:24:00Z</dcterms:modified>
</cp:coreProperties>
</file>