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1AC" w:rsidRPr="00C4598C" w:rsidRDefault="004731AC" w:rsidP="004731AC">
      <w:pPr>
        <w:spacing w:line="240" w:lineRule="auto"/>
        <w:jc w:val="center"/>
        <w:rPr>
          <w:rFonts w:ascii="Palatino Linotype" w:hAnsi="Palatino Linotype" w:cs="Times New Roman"/>
          <w:b/>
          <w:sz w:val="28"/>
          <w:szCs w:val="28"/>
          <w:lang w:val="en-ID"/>
        </w:rPr>
      </w:pPr>
      <w:r w:rsidRPr="00C4598C">
        <w:rPr>
          <w:rFonts w:ascii="Palatino Linotype" w:hAnsi="Palatino Linotype" w:cs="Times New Roman"/>
          <w:b/>
          <w:sz w:val="28"/>
          <w:szCs w:val="28"/>
          <w:lang w:val="en-ID"/>
        </w:rPr>
        <w:t>SOCIOECONOMI, PREVALENCE OF METABOLIC SYNDROME, HANDGRIP STRENGTH ON COMMUNITY-DWELLING OLDER ADULTS</w:t>
      </w:r>
    </w:p>
    <w:p w:rsidR="004731AC" w:rsidRPr="00C4598C" w:rsidRDefault="004731AC" w:rsidP="004731AC">
      <w:pPr>
        <w:autoSpaceDE w:val="0"/>
        <w:autoSpaceDN w:val="0"/>
        <w:adjustRightInd w:val="0"/>
        <w:spacing w:after="120" w:line="240" w:lineRule="auto"/>
        <w:jc w:val="center"/>
        <w:rPr>
          <w:rFonts w:ascii="Palatino Linotype" w:hAnsi="Palatino Linotype"/>
          <w:b/>
          <w:noProof/>
          <w:vertAlign w:val="superscript"/>
          <w:lang w:val="en-GB" w:eastAsia="id-ID"/>
        </w:rPr>
      </w:pPr>
      <w:r w:rsidRPr="00C4598C">
        <w:rPr>
          <w:rFonts w:ascii="Palatino Linotype" w:hAnsi="Palatino Linotype"/>
          <w:b/>
          <w:noProof/>
          <w:lang w:val="en-GB" w:eastAsia="id-ID"/>
        </w:rPr>
        <w:t>Sumandar</w:t>
      </w:r>
      <w:r w:rsidRPr="00C4598C">
        <w:rPr>
          <w:rFonts w:ascii="Palatino Linotype" w:hAnsi="Palatino Linotype"/>
          <w:b/>
          <w:noProof/>
          <w:vertAlign w:val="superscript"/>
          <w:lang w:val="en-GB" w:eastAsia="id-ID"/>
        </w:rPr>
        <w:t>1</w:t>
      </w:r>
      <w:r w:rsidRPr="00C4598C">
        <w:rPr>
          <w:rFonts w:ascii="Palatino Linotype" w:hAnsi="Palatino Linotype"/>
          <w:b/>
          <w:noProof/>
          <w:lang w:val="en-GB" w:eastAsia="id-ID"/>
        </w:rPr>
        <w:t>, Rohmi Fadhli</w:t>
      </w:r>
      <w:r w:rsidRPr="00C4598C">
        <w:rPr>
          <w:rFonts w:ascii="Palatino Linotype" w:hAnsi="Palatino Linotype"/>
          <w:b/>
          <w:noProof/>
          <w:vertAlign w:val="superscript"/>
          <w:lang w:val="en-GB" w:eastAsia="id-ID"/>
        </w:rPr>
        <w:t>2</w:t>
      </w:r>
      <w:r w:rsidRPr="00C4598C">
        <w:rPr>
          <w:rFonts w:ascii="Palatino Linotype" w:hAnsi="Palatino Linotype"/>
          <w:b/>
          <w:noProof/>
          <w:lang w:val="en-GB" w:eastAsia="id-ID"/>
        </w:rPr>
        <w:t>, Eva Mayasari</w:t>
      </w:r>
      <w:r w:rsidRPr="00C4598C">
        <w:rPr>
          <w:rFonts w:ascii="Palatino Linotype" w:hAnsi="Palatino Linotype"/>
          <w:b/>
          <w:noProof/>
          <w:vertAlign w:val="superscript"/>
          <w:lang w:val="en-GB" w:eastAsia="id-ID"/>
        </w:rPr>
        <w:t>3</w:t>
      </w:r>
      <w:r w:rsidRPr="00C4598C">
        <w:rPr>
          <w:rFonts w:ascii="Palatino Linotype" w:hAnsi="Palatino Linotype"/>
          <w:b/>
          <w:noProof/>
          <w:lang w:val="en-GB" w:eastAsia="id-ID"/>
        </w:rPr>
        <w:t>, Dona Marlina</w:t>
      </w:r>
      <w:r w:rsidRPr="00C4598C">
        <w:rPr>
          <w:rFonts w:ascii="Palatino Linotype" w:hAnsi="Palatino Linotype"/>
          <w:b/>
          <w:noProof/>
          <w:vertAlign w:val="superscript"/>
          <w:lang w:val="en-GB" w:eastAsia="id-ID"/>
        </w:rPr>
        <w:t>4</w:t>
      </w:r>
      <w:r w:rsidRPr="00C4598C">
        <w:rPr>
          <w:rFonts w:ascii="Palatino Linotype" w:hAnsi="Palatino Linotype"/>
          <w:b/>
          <w:noProof/>
          <w:lang w:val="en-GB" w:eastAsia="id-ID"/>
        </w:rPr>
        <w:t>, Wahyu Damayanti</w:t>
      </w:r>
      <w:r w:rsidRPr="00C4598C">
        <w:rPr>
          <w:rFonts w:ascii="Palatino Linotype" w:hAnsi="Palatino Linotype"/>
          <w:b/>
          <w:noProof/>
          <w:vertAlign w:val="superscript"/>
          <w:lang w:val="en-GB" w:eastAsia="id-ID"/>
        </w:rPr>
        <w:t>5</w:t>
      </w:r>
    </w:p>
    <w:p w:rsidR="004731AC" w:rsidRPr="00C4598C" w:rsidRDefault="004731AC" w:rsidP="004731AC">
      <w:pPr>
        <w:spacing w:line="240" w:lineRule="auto"/>
        <w:jc w:val="center"/>
        <w:rPr>
          <w:rFonts w:ascii="Palatino Linotype" w:hAnsi="Palatino Linotype"/>
          <w:bCs/>
          <w:lang w:val="en-GB"/>
        </w:rPr>
      </w:pPr>
      <w:r w:rsidRPr="00C4598C">
        <w:rPr>
          <w:rFonts w:ascii="Palatino Linotype" w:hAnsi="Palatino Linotype"/>
          <w:noProof/>
          <w:vertAlign w:val="superscript"/>
          <w:lang w:val="en-GB" w:eastAsia="id-ID"/>
        </w:rPr>
        <w:t>1</w:t>
      </w:r>
      <w:r w:rsidRPr="00C4598C">
        <w:rPr>
          <w:rFonts w:ascii="Palatino Linotype" w:eastAsia="DFKai-SB" w:hAnsi="Palatino Linotype"/>
          <w:vertAlign w:val="superscript"/>
          <w:lang w:val="en-GB"/>
        </w:rPr>
        <w:t xml:space="preserve"> </w:t>
      </w:r>
      <w:r w:rsidRPr="00C4598C">
        <w:rPr>
          <w:rFonts w:ascii="Palatino Linotype" w:hAnsi="Palatino Linotype"/>
          <w:bCs/>
          <w:lang w:val="en-GB"/>
        </w:rPr>
        <w:t>Geriatric N</w:t>
      </w:r>
      <w:r w:rsidRPr="00C4598C">
        <w:rPr>
          <w:rFonts w:ascii="Palatino Linotype" w:hAnsi="Palatino Linotype"/>
          <w:bCs/>
          <w:lang w:val="en-GB"/>
        </w:rPr>
        <w:t>ursing Departemen,</w:t>
      </w:r>
      <w:r w:rsidRPr="00C4598C">
        <w:rPr>
          <w:rFonts w:ascii="Palatino Linotype" w:eastAsia="DFKai-SB" w:hAnsi="Palatino Linotype"/>
          <w:lang w:val="en-GB"/>
        </w:rPr>
        <w:t xml:space="preserve"> , STIKes Al Insyirah Pekanbaru, Indonesia</w:t>
      </w:r>
    </w:p>
    <w:p w:rsidR="004731AC" w:rsidRPr="00C4598C" w:rsidRDefault="004731AC" w:rsidP="004731AC">
      <w:pPr>
        <w:spacing w:line="240" w:lineRule="auto"/>
        <w:jc w:val="center"/>
        <w:rPr>
          <w:rFonts w:ascii="Palatino Linotype" w:eastAsia="DFKai-SB" w:hAnsi="Palatino Linotype"/>
          <w:lang w:val="en-GB"/>
        </w:rPr>
      </w:pPr>
      <w:r w:rsidRPr="00C4598C">
        <w:rPr>
          <w:rFonts w:ascii="Palatino Linotype" w:hAnsi="Palatino Linotype"/>
          <w:noProof/>
          <w:vertAlign w:val="superscript"/>
          <w:lang w:val="en-GB" w:eastAsia="id-ID"/>
        </w:rPr>
        <w:t>2</w:t>
      </w:r>
      <w:r w:rsidRPr="00C4598C">
        <w:rPr>
          <w:rFonts w:ascii="Palatino Linotype" w:eastAsia="DFKai-SB" w:hAnsi="Palatino Linotype"/>
          <w:vertAlign w:val="superscript"/>
          <w:lang w:val="en-GB"/>
        </w:rPr>
        <w:t xml:space="preserve"> </w:t>
      </w:r>
      <w:r w:rsidRPr="00C4598C">
        <w:rPr>
          <w:rFonts w:ascii="Palatino Linotype" w:eastAsia="DFKai-SB" w:hAnsi="Palatino Linotype"/>
          <w:lang w:val="en-GB"/>
        </w:rPr>
        <w:t>Family N</w:t>
      </w:r>
      <w:r w:rsidRPr="00C4598C">
        <w:rPr>
          <w:rFonts w:ascii="Palatino Linotype" w:eastAsia="DFKai-SB" w:hAnsi="Palatino Linotype"/>
          <w:lang w:val="en-GB"/>
        </w:rPr>
        <w:t xml:space="preserve">ursing </w:t>
      </w:r>
      <w:r w:rsidRPr="00C4598C">
        <w:rPr>
          <w:rFonts w:ascii="Palatino Linotype" w:hAnsi="Palatino Linotype"/>
          <w:bCs/>
          <w:lang w:val="en-GB"/>
        </w:rPr>
        <w:t xml:space="preserve">Department, </w:t>
      </w:r>
      <w:r w:rsidRPr="00C4598C">
        <w:rPr>
          <w:rFonts w:ascii="Palatino Linotype" w:eastAsia="DFKai-SB" w:hAnsi="Palatino Linotype"/>
          <w:lang w:val="en-GB"/>
        </w:rPr>
        <w:t>, STIKes Al Insyirah Pekanbaru, Indonesia</w:t>
      </w:r>
    </w:p>
    <w:p w:rsidR="004731AC" w:rsidRPr="00C4598C" w:rsidRDefault="004731AC" w:rsidP="004731AC">
      <w:pPr>
        <w:spacing w:line="240" w:lineRule="auto"/>
        <w:jc w:val="center"/>
        <w:rPr>
          <w:rFonts w:ascii="Palatino Linotype" w:eastAsia="DFKai-SB" w:hAnsi="Palatino Linotype"/>
          <w:lang w:val="en-GB"/>
        </w:rPr>
      </w:pPr>
      <w:r w:rsidRPr="00C4598C">
        <w:rPr>
          <w:rFonts w:ascii="Palatino Linotype" w:eastAsia="DFKai-SB" w:hAnsi="Palatino Linotype"/>
          <w:vertAlign w:val="superscript"/>
          <w:lang w:val="en-GB"/>
        </w:rPr>
        <w:t>3</w:t>
      </w:r>
      <w:r w:rsidRPr="00C4598C">
        <w:rPr>
          <w:rFonts w:ascii="Palatino Linotype" w:eastAsia="DFKai-SB" w:hAnsi="Palatino Linotype"/>
          <w:lang w:val="en-GB"/>
        </w:rPr>
        <w:t>Health Promotion Departemen, STIKes Al Insyirah Pekanbaru, Indonesia</w:t>
      </w:r>
    </w:p>
    <w:p w:rsidR="004731AC" w:rsidRPr="00C4598C" w:rsidRDefault="004731AC" w:rsidP="004731AC">
      <w:pPr>
        <w:spacing w:line="240" w:lineRule="auto"/>
        <w:jc w:val="center"/>
        <w:rPr>
          <w:rFonts w:ascii="Palatino Linotype" w:eastAsia="DFKai-SB" w:hAnsi="Palatino Linotype"/>
          <w:lang w:val="en-GB"/>
        </w:rPr>
      </w:pPr>
      <w:r w:rsidRPr="00C4598C">
        <w:rPr>
          <w:rFonts w:ascii="Palatino Linotype" w:eastAsia="DFKai-SB" w:hAnsi="Palatino Linotype"/>
          <w:vertAlign w:val="superscript"/>
          <w:lang w:val="en-GB"/>
        </w:rPr>
        <w:t>4,5</w:t>
      </w:r>
      <w:r w:rsidRPr="00C4598C">
        <w:rPr>
          <w:rFonts w:ascii="Palatino Linotype" w:eastAsia="DFKai-SB" w:hAnsi="Palatino Linotype"/>
          <w:lang w:val="en-GB"/>
        </w:rPr>
        <w:t>Nursing student, STIKes Al Insyirah Pekanbaru, Indonesia</w:t>
      </w:r>
    </w:p>
    <w:p w:rsidR="004731AC" w:rsidRPr="00C4598C" w:rsidRDefault="004731AC" w:rsidP="004731AC">
      <w:pPr>
        <w:spacing w:line="240" w:lineRule="auto"/>
        <w:jc w:val="center"/>
        <w:rPr>
          <w:rStyle w:val="Hyperlink"/>
          <w:rFonts w:ascii="Palatino Linotype" w:hAnsi="Palatino Linotype"/>
          <w:noProof/>
          <w:color w:val="000000" w:themeColor="text1"/>
          <w:u w:val="none"/>
          <w:lang w:val="en-GB" w:eastAsia="id-ID"/>
        </w:rPr>
      </w:pPr>
      <w:r w:rsidRPr="00C4598C">
        <w:rPr>
          <w:rFonts w:ascii="Palatino Linotype" w:eastAsia="DFKai-SB" w:hAnsi="Palatino Linotype"/>
          <w:lang w:val="en-GB"/>
        </w:rPr>
        <w:t xml:space="preserve">Email: </w:t>
      </w:r>
      <w:r w:rsidRPr="00C4598C">
        <w:rPr>
          <w:rFonts w:ascii="Palatino Linotype" w:hAnsi="Palatino Linotype"/>
          <w:noProof/>
          <w:lang w:val="en-GB" w:eastAsia="id-ID"/>
        </w:rPr>
        <w:t xml:space="preserve"> </w:t>
      </w:r>
      <w:hyperlink r:id="rId7" w:history="1">
        <w:r w:rsidRPr="00C4598C">
          <w:rPr>
            <w:rStyle w:val="Hyperlink"/>
            <w:rFonts w:ascii="Palatino Linotype" w:hAnsi="Palatino Linotype"/>
            <w:noProof/>
            <w:color w:val="000000" w:themeColor="text1"/>
            <w:u w:val="none"/>
            <w:lang w:val="en-GB" w:eastAsia="id-ID"/>
          </w:rPr>
          <w:t>sumandar.05mangiri@gmail.com</w:t>
        </w:r>
      </w:hyperlink>
    </w:p>
    <w:p w:rsidR="004731AC" w:rsidRPr="00C4598C" w:rsidRDefault="004731AC" w:rsidP="004731AC">
      <w:pPr>
        <w:spacing w:line="240" w:lineRule="auto"/>
        <w:jc w:val="both"/>
        <w:rPr>
          <w:rFonts w:ascii="Palatino Linotype" w:hAnsi="Palatino Linotype"/>
          <w:b/>
          <w:i/>
        </w:rPr>
      </w:pPr>
      <w:r w:rsidRPr="00C4598C">
        <w:rPr>
          <w:rFonts w:ascii="Palatino Linotype" w:hAnsi="Palatino Linotype"/>
          <w:b/>
          <w:i/>
        </w:rPr>
        <w:t>ABSTRACT</w:t>
      </w:r>
    </w:p>
    <w:p w:rsidR="004731AC" w:rsidRPr="00C4598C" w:rsidRDefault="004731AC" w:rsidP="004731AC">
      <w:pPr>
        <w:shd w:val="clear" w:color="auto" w:fill="FFFFFF"/>
        <w:spacing w:line="240" w:lineRule="auto"/>
        <w:jc w:val="both"/>
        <w:rPr>
          <w:rFonts w:ascii="Palatino Linotype" w:eastAsia="Times New Roman" w:hAnsi="Palatino Linotype" w:cs="Times New Roman"/>
          <w:i/>
        </w:rPr>
      </w:pPr>
      <w:r w:rsidRPr="00C4598C">
        <w:rPr>
          <w:rFonts w:ascii="Palatino Linotype" w:hAnsi="Palatino Linotype" w:cs="Times New Roman"/>
          <w:i/>
          <w:lang w:val="en-ID"/>
        </w:rPr>
        <w:t xml:space="preserve">Handgrip strength is indicative of overall physical health and mobility in the older adults. A reduction in strength below a certain threshold severely increases the risk of mobility limitations and is predictive for adverse outcomes such as dependence in daily activities, mortality. The purpose of study was to analyze the association gender, employed status, metabolic syndrome with handgrip strength among community-dwelling older adults. The study was observasional analytic with cross sectional approach. </w:t>
      </w:r>
      <w:r w:rsidRPr="00C4598C">
        <w:rPr>
          <w:rFonts w:ascii="Palatino Linotype" w:hAnsi="Palatino Linotype" w:cs="Times New Roman"/>
          <w:i/>
          <w:color w:val="212121"/>
          <w:shd w:val="clear" w:color="auto" w:fill="FFFFFF"/>
        </w:rPr>
        <w:t>Data were collected on gender, employed status, metabolic syndrome, handgrip strength</w:t>
      </w:r>
      <w:r w:rsidRPr="00C4598C">
        <w:rPr>
          <w:rFonts w:ascii="Palatino Linotype" w:hAnsi="Palatino Linotype" w:cs="Times New Roman"/>
          <w:color w:val="212121"/>
          <w:shd w:val="clear" w:color="auto" w:fill="FFFFFF"/>
        </w:rPr>
        <w:t xml:space="preserve">. </w:t>
      </w:r>
      <w:r w:rsidRPr="00C4598C">
        <w:rPr>
          <w:rFonts w:ascii="Palatino Linotype" w:hAnsi="Palatino Linotype" w:cs="Times New Roman"/>
          <w:i/>
          <w:lang w:val="en-ID"/>
        </w:rPr>
        <w:t xml:space="preserve">102 older adults dwelling-community in Pekanbaru Indonesia selected by cluster sampling. The result showed that </w:t>
      </w:r>
      <w:r w:rsidRPr="00C4598C">
        <w:rPr>
          <w:rFonts w:ascii="Palatino Linotype" w:hAnsi="Palatino Linotype" w:cs="Times New Roman"/>
          <w:i/>
          <w:color w:val="212121"/>
          <w:shd w:val="clear" w:color="auto" w:fill="FFFFFF"/>
        </w:rPr>
        <w:t xml:space="preserve">low handgrip strength was 60,8 %, females were </w:t>
      </w:r>
      <w:r w:rsidRPr="00C4598C">
        <w:rPr>
          <w:rFonts w:ascii="Palatino Linotype" w:hAnsi="Palatino Linotype" w:cs="Times New Roman"/>
          <w:i/>
          <w:lang w:val="en-ID"/>
        </w:rPr>
        <w:t xml:space="preserve">66,7 %, unemployed was 70,6 %, prevalence of metabolic syndrome were 20,6 %. Gender </w:t>
      </w:r>
      <w:r w:rsidRPr="00C4598C">
        <w:rPr>
          <w:rFonts w:ascii="Palatino Linotype" w:hAnsi="Palatino Linotype" w:cs="Times New Roman"/>
          <w:i/>
          <w:color w:val="212121"/>
          <w:shd w:val="clear" w:color="auto" w:fill="FFFFFF"/>
        </w:rPr>
        <w:t xml:space="preserve">was  associated with handgrip strength (p=0,000; odds ratio </w:t>
      </w:r>
      <w:r w:rsidRPr="00C4598C">
        <w:rPr>
          <w:rFonts w:ascii="Palatino Linotype" w:hAnsi="Palatino Linotype" w:cs="Times New Roman"/>
          <w:i/>
          <w:lang w:val="en-ID"/>
        </w:rPr>
        <w:t xml:space="preserve">6,27; </w:t>
      </w:r>
      <w:r w:rsidRPr="00C4598C">
        <w:rPr>
          <w:rFonts w:ascii="Palatino Linotype" w:hAnsi="Palatino Linotype" w:cs="Times New Roman"/>
          <w:i/>
          <w:color w:val="212121"/>
          <w:shd w:val="clear" w:color="auto" w:fill="FFFFFF"/>
        </w:rPr>
        <w:t xml:space="preserve">95% confidence interval 2,540-15,493), employed status was associated with handgrip strength (p=0,008; odds ratio </w:t>
      </w:r>
      <w:r w:rsidRPr="00C4598C">
        <w:rPr>
          <w:rFonts w:ascii="Palatino Linotype" w:hAnsi="Palatino Linotype" w:cs="Times New Roman"/>
          <w:i/>
          <w:lang w:val="en-ID"/>
        </w:rPr>
        <w:t xml:space="preserve">3,4; </w:t>
      </w:r>
      <w:r w:rsidRPr="00C4598C">
        <w:rPr>
          <w:rFonts w:ascii="Palatino Linotype" w:hAnsi="Palatino Linotype" w:cs="Times New Roman"/>
          <w:i/>
          <w:color w:val="212121"/>
          <w:shd w:val="clear" w:color="auto" w:fill="FFFFFF"/>
        </w:rPr>
        <w:t xml:space="preserve">95% confidence interval </w:t>
      </w:r>
      <w:r w:rsidRPr="00C4598C">
        <w:rPr>
          <w:rFonts w:ascii="Palatino Linotype" w:hAnsi="Palatino Linotype" w:cs="Times New Roman"/>
          <w:i/>
          <w:lang w:val="en-ID"/>
        </w:rPr>
        <w:t>1,406-8,268</w:t>
      </w:r>
      <w:r w:rsidRPr="00C4598C">
        <w:rPr>
          <w:rFonts w:ascii="Palatino Linotype" w:hAnsi="Palatino Linotype" w:cs="Times New Roman"/>
          <w:i/>
          <w:color w:val="212121"/>
          <w:shd w:val="clear" w:color="auto" w:fill="FFFFFF"/>
        </w:rPr>
        <w:t xml:space="preserve">),metabolic syndrome were associated with handgrip strength (p=0,045; odds ratio </w:t>
      </w:r>
      <w:r w:rsidRPr="00C4598C">
        <w:rPr>
          <w:rFonts w:ascii="Palatino Linotype" w:hAnsi="Palatino Linotype" w:cs="Times New Roman"/>
          <w:i/>
          <w:lang w:val="en-ID"/>
        </w:rPr>
        <w:t xml:space="preserve">0,29 </w:t>
      </w:r>
      <w:r w:rsidRPr="00C4598C">
        <w:rPr>
          <w:rFonts w:ascii="Palatino Linotype" w:hAnsi="Palatino Linotype" w:cs="Times New Roman"/>
          <w:i/>
          <w:color w:val="212121"/>
          <w:shd w:val="clear" w:color="auto" w:fill="FFFFFF"/>
        </w:rPr>
        <w:t xml:space="preserve"> </w:t>
      </w:r>
      <w:r w:rsidRPr="00C4598C">
        <w:rPr>
          <w:rFonts w:ascii="Palatino Linotype" w:hAnsi="Palatino Linotype" w:cs="Times New Roman"/>
          <w:i/>
          <w:lang w:val="en-ID"/>
        </w:rPr>
        <w:t xml:space="preserve">; </w:t>
      </w:r>
      <w:r w:rsidRPr="00C4598C">
        <w:rPr>
          <w:rFonts w:ascii="Palatino Linotype" w:hAnsi="Palatino Linotype" w:cs="Times New Roman"/>
          <w:i/>
          <w:color w:val="212121"/>
          <w:shd w:val="clear" w:color="auto" w:fill="FFFFFF"/>
        </w:rPr>
        <w:t xml:space="preserve">95% confidence interval </w:t>
      </w:r>
      <w:r w:rsidRPr="00C4598C">
        <w:rPr>
          <w:rFonts w:ascii="Palatino Linotype" w:hAnsi="Palatino Linotype" w:cs="Times New Roman"/>
          <w:i/>
          <w:lang w:val="en-ID"/>
        </w:rPr>
        <w:t xml:space="preserve">0,91-0,95). </w:t>
      </w:r>
      <w:r w:rsidRPr="00C4598C">
        <w:rPr>
          <w:rFonts w:ascii="Palatino Linotype" w:eastAsia="Times New Roman" w:hAnsi="Palatino Linotype" w:cs="Times New Roman"/>
          <w:i/>
        </w:rPr>
        <w:t>There were many factors which influencing the handgrip strength in older adults such as gender, employed status and metabolic syndrome.</w:t>
      </w:r>
    </w:p>
    <w:p w:rsidR="004731AC" w:rsidRPr="00C4598C" w:rsidRDefault="004731AC" w:rsidP="004731AC">
      <w:pPr>
        <w:shd w:val="clear" w:color="auto" w:fill="FFFFFF"/>
        <w:jc w:val="both"/>
        <w:rPr>
          <w:rFonts w:ascii="Palatino Linotype" w:eastAsia="Times New Roman" w:hAnsi="Palatino Linotype" w:cs="Times New Roman"/>
          <w:i/>
        </w:rPr>
      </w:pPr>
      <w:r w:rsidRPr="00C4598C">
        <w:rPr>
          <w:rFonts w:ascii="Palatino Linotype" w:eastAsia="Times New Roman" w:hAnsi="Palatino Linotype" w:cs="Times New Roman"/>
          <w:b/>
          <w:i/>
        </w:rPr>
        <w:t>Keyword</w:t>
      </w:r>
      <w:r w:rsidRPr="00C4598C">
        <w:rPr>
          <w:rFonts w:ascii="Palatino Linotype" w:eastAsia="Times New Roman" w:hAnsi="Palatino Linotype" w:cs="Times New Roman"/>
          <w:i/>
        </w:rPr>
        <w:t xml:space="preserve">s: Community-dwelling older adults, Employed, </w:t>
      </w:r>
      <w:r w:rsidRPr="00C4598C">
        <w:rPr>
          <w:rFonts w:ascii="Palatino Linotype" w:hAnsi="Palatino Linotype" w:cs="Times New Roman"/>
          <w:i/>
          <w:lang w:val="en-ID"/>
        </w:rPr>
        <w:t>Handgrip strength, Gender,</w:t>
      </w:r>
      <w:r w:rsidRPr="00C4598C">
        <w:rPr>
          <w:rFonts w:ascii="Palatino Linotype" w:eastAsia="Times New Roman" w:hAnsi="Palatino Linotype" w:cs="Times New Roman"/>
          <w:i/>
        </w:rPr>
        <w:t>Metabolic syndrome</w:t>
      </w:r>
    </w:p>
    <w:p w:rsidR="004731AC" w:rsidRPr="00C4598C" w:rsidRDefault="004731AC" w:rsidP="004731AC">
      <w:pPr>
        <w:shd w:val="clear" w:color="auto" w:fill="FFFFFF"/>
        <w:jc w:val="both"/>
        <w:rPr>
          <w:rFonts w:ascii="Palatino Linotype" w:eastAsia="Times New Roman" w:hAnsi="Palatino Linotype" w:cs="Times New Roman"/>
        </w:rPr>
      </w:pPr>
    </w:p>
    <w:p w:rsidR="007E4F86" w:rsidRPr="00C4598C" w:rsidRDefault="007E4F86" w:rsidP="004731AC">
      <w:pPr>
        <w:shd w:val="clear" w:color="auto" w:fill="FFFFFF"/>
        <w:jc w:val="both"/>
        <w:rPr>
          <w:rFonts w:ascii="Palatino Linotype" w:eastAsia="Times New Roman" w:hAnsi="Palatino Linotype" w:cs="Times New Roman"/>
        </w:rPr>
      </w:pPr>
    </w:p>
    <w:p w:rsidR="007E4F86" w:rsidRPr="00C4598C" w:rsidRDefault="007E4F86" w:rsidP="004731AC">
      <w:pPr>
        <w:shd w:val="clear" w:color="auto" w:fill="FFFFFF"/>
        <w:jc w:val="both"/>
        <w:rPr>
          <w:rFonts w:ascii="Palatino Linotype" w:eastAsia="Times New Roman" w:hAnsi="Palatino Linotype" w:cs="Times New Roman"/>
        </w:rPr>
      </w:pPr>
    </w:p>
    <w:p w:rsidR="007E4F86" w:rsidRPr="00C4598C" w:rsidRDefault="007E4F86" w:rsidP="004731AC">
      <w:pPr>
        <w:shd w:val="clear" w:color="auto" w:fill="FFFFFF"/>
        <w:jc w:val="both"/>
        <w:rPr>
          <w:rFonts w:ascii="Palatino Linotype" w:eastAsia="Times New Roman" w:hAnsi="Palatino Linotype" w:cs="Times New Roman"/>
        </w:rPr>
      </w:pPr>
    </w:p>
    <w:p w:rsidR="007E4F86" w:rsidRPr="00C4598C" w:rsidRDefault="007E4F86" w:rsidP="004731AC">
      <w:pPr>
        <w:shd w:val="clear" w:color="auto" w:fill="FFFFFF"/>
        <w:jc w:val="both"/>
        <w:rPr>
          <w:rFonts w:ascii="Palatino Linotype" w:eastAsia="Times New Roman" w:hAnsi="Palatino Linotype" w:cs="Times New Roman"/>
        </w:rPr>
      </w:pPr>
    </w:p>
    <w:p w:rsidR="007E4F86" w:rsidRPr="00C4598C" w:rsidRDefault="007E4F86" w:rsidP="004731AC">
      <w:pPr>
        <w:shd w:val="clear" w:color="auto" w:fill="FFFFFF"/>
        <w:jc w:val="both"/>
        <w:rPr>
          <w:rFonts w:ascii="Palatino Linotype" w:hAnsi="Palatino Linotype"/>
        </w:rPr>
        <w:sectPr w:rsidR="007E4F86" w:rsidRPr="00C4598C">
          <w:pgSz w:w="12240" w:h="15840"/>
          <w:pgMar w:top="1440" w:right="1440" w:bottom="1440" w:left="1440" w:header="708" w:footer="708" w:gutter="0"/>
          <w:cols w:space="708"/>
          <w:docGrid w:linePitch="360"/>
        </w:sectPr>
      </w:pPr>
    </w:p>
    <w:p w:rsidR="007E4F86" w:rsidRPr="00C4598C" w:rsidRDefault="007E4F86" w:rsidP="004731AC">
      <w:pPr>
        <w:shd w:val="clear" w:color="auto" w:fill="FFFFFF"/>
        <w:jc w:val="both"/>
        <w:rPr>
          <w:rFonts w:ascii="Palatino Linotype" w:hAnsi="Palatino Linotype"/>
          <w:b/>
        </w:rPr>
      </w:pPr>
      <w:r w:rsidRPr="00C4598C">
        <w:rPr>
          <w:rFonts w:ascii="Palatino Linotype" w:hAnsi="Palatino Linotype"/>
          <w:b/>
        </w:rPr>
        <w:lastRenderedPageBreak/>
        <w:t>Background</w:t>
      </w:r>
    </w:p>
    <w:p w:rsidR="007E4F86" w:rsidRPr="00C4598C" w:rsidRDefault="007E4F86" w:rsidP="00AB7787">
      <w:pPr>
        <w:spacing w:line="240" w:lineRule="auto"/>
        <w:ind w:firstLine="720"/>
        <w:jc w:val="both"/>
        <w:rPr>
          <w:rFonts w:ascii="Palatino Linotype" w:hAnsi="Palatino Linotype" w:cs="Times New Roman"/>
        </w:rPr>
      </w:pPr>
      <w:r w:rsidRPr="00C4598C">
        <w:rPr>
          <w:rFonts w:ascii="Palatino Linotype" w:hAnsi="Palatino Linotype" w:cs="Times New Roman"/>
        </w:rPr>
        <w:t xml:space="preserve">Population ageing is a global phenomenon. Virtually each country in the world is experiencing growth in the size and proportion of older adults in their population. There were 703 million persons aged 65 years or over in the world in 2019. The number of older adults is projected to double to 1.5 billion in 2050. Globally, the share of the population aged 65 years or over increased from 6 per cent in 1990 to 9 percent in 2019. That proportion is projected to rise further to 16 per cent by 2050, so that one in six people in the world will be aged 65 years or over </w:t>
      </w:r>
      <w:r w:rsidRPr="00C4598C">
        <w:rPr>
          <w:rFonts w:ascii="Palatino Linotype" w:hAnsi="Palatino Linotype" w:cs="Times New Roman"/>
        </w:rPr>
        <w:fldChar w:fldCharType="begin" w:fldLock="1"/>
      </w:r>
      <w:r w:rsidRPr="00C4598C">
        <w:rPr>
          <w:rFonts w:ascii="Palatino Linotype" w:hAnsi="Palatino Linotype" w:cs="Times New Roman"/>
        </w:rPr>
        <w:instrText>ADDIN CSL_CITATION {"citationItems":[{"id":"ITEM-1","itemData":{"ISBN":"9789211483253","author":[{"dropping-particle":"","family":"Nations","given":"United","non-dropping-particle":"","parse-names":false,"suffix":""}],"id":"ITEM-1","issued":{"date-parts":[["2019"]]},"publisher":"the United Nations","title":"World Population Ageing 2019","type":"entry-encyclopedia"},"uris":["http://www.mendeley.com/documents/?uuid=47b35b94-d425-4ebb-aca7-928c7accc12e"]}],"mendeley":{"formattedCitation":"(Nations, 2019)","plainTextFormattedCitation":"(Nations, 2019)","previouslyFormattedCitation":"(Nations, 2019)"},"properties":{"noteIndex":0},"schema":"https://github.com/citation-style-language/schema/raw/master/csl-citation.json"}</w:instrText>
      </w:r>
      <w:r w:rsidRPr="00C4598C">
        <w:rPr>
          <w:rFonts w:ascii="Palatino Linotype" w:hAnsi="Palatino Linotype" w:cs="Times New Roman"/>
        </w:rPr>
        <w:fldChar w:fldCharType="separate"/>
      </w:r>
      <w:r w:rsidRPr="00C4598C">
        <w:rPr>
          <w:rFonts w:ascii="Palatino Linotype" w:hAnsi="Palatino Linotype" w:cs="Times New Roman"/>
          <w:noProof/>
        </w:rPr>
        <w:t>(Nations, 2019)</w:t>
      </w:r>
      <w:r w:rsidRPr="00C4598C">
        <w:rPr>
          <w:rFonts w:ascii="Palatino Linotype" w:hAnsi="Palatino Linotype" w:cs="Times New Roman"/>
        </w:rPr>
        <w:fldChar w:fldCharType="end"/>
      </w:r>
      <w:r w:rsidRPr="00C4598C">
        <w:rPr>
          <w:rFonts w:ascii="Palatino Linotype" w:hAnsi="Palatino Linotype" w:cs="Times New Roman"/>
        </w:rPr>
        <w:t xml:space="preserve">. </w:t>
      </w:r>
    </w:p>
    <w:p w:rsidR="007E4F86" w:rsidRPr="00C4598C" w:rsidRDefault="00AB7787" w:rsidP="007E4F86">
      <w:pPr>
        <w:pStyle w:val="HTMLPreformatted"/>
        <w:shd w:val="clear" w:color="auto" w:fill="FFFFFF" w:themeFill="background1"/>
        <w:jc w:val="both"/>
        <w:rPr>
          <w:rFonts w:ascii="Palatino Linotype" w:hAnsi="Palatino Linotype" w:cs="Times New Roman"/>
          <w:sz w:val="22"/>
          <w:szCs w:val="22"/>
          <w:lang w:val="en-ID"/>
        </w:rPr>
      </w:pPr>
      <w:r>
        <w:rPr>
          <w:rFonts w:ascii="Palatino Linotype" w:hAnsi="Palatino Linotype" w:cs="Times New Roman"/>
          <w:color w:val="222222"/>
          <w:sz w:val="22"/>
          <w:szCs w:val="22"/>
          <w:lang w:val="en"/>
        </w:rPr>
        <w:tab/>
      </w:r>
      <w:r w:rsidR="007E4F86" w:rsidRPr="00C4598C">
        <w:rPr>
          <w:rFonts w:ascii="Palatino Linotype" w:hAnsi="Palatino Linotype" w:cs="Times New Roman"/>
          <w:color w:val="222222"/>
          <w:sz w:val="22"/>
          <w:szCs w:val="22"/>
          <w:lang w:val="en"/>
        </w:rPr>
        <w:t xml:space="preserve">Currently, Indonesia is entering a period of population aging. Indonesia undergoing an increase older adults from </w:t>
      </w:r>
      <w:r w:rsidR="007E4F86" w:rsidRPr="00C4598C">
        <w:rPr>
          <w:rFonts w:ascii="Palatino Linotype" w:hAnsi="Palatino Linotype" w:cs="Times New Roman"/>
          <w:sz w:val="22"/>
          <w:szCs w:val="22"/>
        </w:rPr>
        <w:t xml:space="preserve">7,56 percent  in the 2010 up to 9,7 percent  in the 2019 and estimate in the 2035 is 15,77 percent .This can impact for elderly namely positive and negative impact </w:t>
      </w:r>
      <w:r w:rsidR="007E4F86" w:rsidRPr="00C4598C">
        <w:rPr>
          <w:rFonts w:ascii="Palatino Linotype" w:hAnsi="Palatino Linotype" w:cs="Times New Roman"/>
          <w:sz w:val="22"/>
          <w:szCs w:val="22"/>
          <w:lang w:val="en-ID"/>
        </w:rPr>
        <w:fldChar w:fldCharType="begin" w:fldLock="1"/>
      </w:r>
      <w:r w:rsidR="007E4F86" w:rsidRPr="00C4598C">
        <w:rPr>
          <w:rFonts w:ascii="Palatino Linotype" w:hAnsi="Palatino Linotype" w:cs="Times New Roman"/>
          <w:sz w:val="22"/>
          <w:szCs w:val="22"/>
          <w:lang w:val="en-ID"/>
        </w:rPr>
        <w:instrText>ADDIN CSL_CITATION {"citationItems":[{"id":"ITEM-1","itemData":{"ISBN":"9786232090873","author":[{"dropping-particle":"","family":"Sumandar","given":"","non-dropping-particle":"","parse-names":false,"suffix":""}],"edition":"1","editor":[{"dropping-particle":"","family":"Subekti","given":"Nurul Ftam","non-dropping-particle":"","parse-names":false,"suffix":""}],"id":"ITEM-1","issued":{"date-parts":[["2019"]]},"page":"1-146","publisher":"Deepublish","publisher-place":"Jogjakarta, Indonesia","title":"Pengantar Keperawatan Gerontik dengan pendekatan Asuhan keperawatan","type":"chapter"},"uris":["http://www.mendeley.com/documents/?uuid=55646e14-9843-409d-9414-e91bfd01f075"]}],"mendeley":{"formattedCitation":"(Sumandar, 2019)","plainTextFormattedCitation":"(Sumandar, 2019)","previouslyFormattedCitation":"(Sumandar, 2019)"},"properties":{"noteIndex":0},"schema":"https://github.com/citation-style-language/schema/raw/master/csl-citation.json"}</w:instrText>
      </w:r>
      <w:r w:rsidR="007E4F86" w:rsidRPr="00C4598C">
        <w:rPr>
          <w:rFonts w:ascii="Palatino Linotype" w:hAnsi="Palatino Linotype" w:cs="Times New Roman"/>
          <w:sz w:val="22"/>
          <w:szCs w:val="22"/>
          <w:lang w:val="en-ID"/>
        </w:rPr>
        <w:fldChar w:fldCharType="separate"/>
      </w:r>
      <w:r w:rsidR="007E4F86" w:rsidRPr="00C4598C">
        <w:rPr>
          <w:rFonts w:ascii="Palatino Linotype" w:hAnsi="Palatino Linotype" w:cs="Times New Roman"/>
          <w:noProof/>
          <w:sz w:val="22"/>
          <w:szCs w:val="22"/>
          <w:lang w:val="en-ID"/>
        </w:rPr>
        <w:t>(Sumandar, 2019)</w:t>
      </w:r>
      <w:r w:rsidR="007E4F86" w:rsidRPr="00C4598C">
        <w:rPr>
          <w:rFonts w:ascii="Palatino Linotype" w:hAnsi="Palatino Linotype" w:cs="Times New Roman"/>
          <w:sz w:val="22"/>
          <w:szCs w:val="22"/>
          <w:lang w:val="en-ID"/>
        </w:rPr>
        <w:fldChar w:fldCharType="end"/>
      </w:r>
      <w:r w:rsidR="007E4F86" w:rsidRPr="00C4598C">
        <w:rPr>
          <w:rFonts w:ascii="Palatino Linotype" w:hAnsi="Palatino Linotype" w:cs="Times New Roman"/>
          <w:sz w:val="22"/>
          <w:szCs w:val="22"/>
          <w:lang w:val="en-ID"/>
        </w:rPr>
        <w:t>.</w:t>
      </w:r>
      <w:r w:rsidR="007E4F86" w:rsidRPr="00C4598C">
        <w:rPr>
          <w:rFonts w:ascii="Palatino Linotype" w:hAnsi="Palatino Linotype" w:cs="Times New Roman"/>
          <w:sz w:val="22"/>
          <w:szCs w:val="22"/>
        </w:rPr>
        <w:t xml:space="preserve"> The growth and development among older adults  occurs continue. This related changes in the body, namely aging process </w:t>
      </w:r>
      <w:r w:rsidR="007E4F86" w:rsidRPr="00C4598C">
        <w:rPr>
          <w:rFonts w:ascii="Palatino Linotype" w:hAnsi="Palatino Linotype" w:cs="Times New Roman"/>
          <w:sz w:val="22"/>
          <w:szCs w:val="22"/>
          <w:lang w:val="en-ID"/>
        </w:rPr>
        <w:fldChar w:fldCharType="begin" w:fldLock="1"/>
      </w:r>
      <w:r w:rsidR="007E4F86" w:rsidRPr="00C4598C">
        <w:rPr>
          <w:rFonts w:ascii="Palatino Linotype" w:hAnsi="Palatino Linotype" w:cs="Times New Roman"/>
          <w:sz w:val="22"/>
          <w:szCs w:val="22"/>
          <w:lang w:val="en-ID"/>
        </w:rPr>
        <w:instrText>ADDIN CSL_CITATION {"citationItems":[{"id":"ITEM-1","itemData":{"DOI":"10.22216/jen.v5i2.4802","author":[{"dropping-particle":"","family":"Sumandar, Yesi Septina Wati","given":"Ary Sri Oktora Rahayu","non-dropping-particle":"","parse-names":false,"suffix":""}],"container-title":"Enudrance","id":"ITEM-1","issue":"3","issued":{"date-parts":[["2020"]]},"page":"227-232","title":"The Anxiety Among Menopause Period : Study About Level , Precipitation Factors And Coping Mechanism","type":"article-journal","volume":"3"},"uris":["http://www.mendeley.com/documents/?uuid=abd6dc29-bb99-4a2c-9629-5f61b252a929"]}],"mendeley":{"formattedCitation":"(Sumandar, Yesi Septina Wati, 2020)","plainTextFormattedCitation":"(Sumandar, Yesi Septina Wati, 2020)","previouslyFormattedCitation":"(Sumandar, Yesi Septina Wati, 2020)"},"properties":{"noteIndex":0},"schema":"https://github.com/citation-style-language/schema/raw/master/csl-citation.json"}</w:instrText>
      </w:r>
      <w:r w:rsidR="007E4F86" w:rsidRPr="00C4598C">
        <w:rPr>
          <w:rFonts w:ascii="Palatino Linotype" w:hAnsi="Palatino Linotype" w:cs="Times New Roman"/>
          <w:sz w:val="22"/>
          <w:szCs w:val="22"/>
          <w:lang w:val="en-ID"/>
        </w:rPr>
        <w:fldChar w:fldCharType="separate"/>
      </w:r>
      <w:r w:rsidR="007E4F86" w:rsidRPr="00C4598C">
        <w:rPr>
          <w:rFonts w:ascii="Palatino Linotype" w:hAnsi="Palatino Linotype" w:cs="Times New Roman"/>
          <w:noProof/>
          <w:sz w:val="22"/>
          <w:szCs w:val="22"/>
          <w:lang w:val="en-ID"/>
        </w:rPr>
        <w:t>(Sumandar, Yesi Septina Wati, 2020)</w:t>
      </w:r>
      <w:r w:rsidR="007E4F86" w:rsidRPr="00C4598C">
        <w:rPr>
          <w:rFonts w:ascii="Palatino Linotype" w:hAnsi="Palatino Linotype" w:cs="Times New Roman"/>
          <w:sz w:val="22"/>
          <w:szCs w:val="22"/>
          <w:lang w:val="en-ID"/>
        </w:rPr>
        <w:fldChar w:fldCharType="end"/>
      </w:r>
      <w:r w:rsidR="007E4F86" w:rsidRPr="00C4598C">
        <w:rPr>
          <w:rFonts w:ascii="Palatino Linotype" w:hAnsi="Palatino Linotype" w:cs="Times New Roman"/>
          <w:sz w:val="22"/>
          <w:szCs w:val="22"/>
          <w:lang w:val="en-ID"/>
        </w:rPr>
        <w:t>.</w:t>
      </w:r>
    </w:p>
    <w:p w:rsidR="007E4F86" w:rsidRPr="00C4598C" w:rsidRDefault="007E4F86" w:rsidP="007E4F86">
      <w:pPr>
        <w:pStyle w:val="HTMLPreformatted"/>
        <w:shd w:val="clear" w:color="auto" w:fill="FFFFFF" w:themeFill="background1"/>
        <w:jc w:val="both"/>
        <w:rPr>
          <w:rFonts w:ascii="Palatino Linotype" w:hAnsi="Palatino Linotype" w:cs="Times New Roman"/>
          <w:color w:val="222222"/>
          <w:sz w:val="22"/>
          <w:szCs w:val="22"/>
        </w:rPr>
      </w:pPr>
    </w:p>
    <w:p w:rsidR="007E4F86" w:rsidRPr="00C4598C" w:rsidRDefault="007E4F86" w:rsidP="00AB7787">
      <w:pPr>
        <w:spacing w:line="240" w:lineRule="auto"/>
        <w:ind w:firstLine="720"/>
        <w:jc w:val="both"/>
        <w:rPr>
          <w:rFonts w:ascii="Palatino Linotype" w:hAnsi="Palatino Linotype" w:cs="Times New Roman"/>
          <w:lang w:val="en-ID"/>
        </w:rPr>
      </w:pPr>
      <w:r w:rsidRPr="00C4598C">
        <w:rPr>
          <w:rFonts w:ascii="Palatino Linotype" w:hAnsi="Palatino Linotype" w:cs="Times New Roman"/>
          <w:lang w:val="en-ID"/>
        </w:rPr>
        <w:t xml:space="preserve">The WHO defines active aging as the process of optimizing opportunities for health, participation, and security in order to enhance quality of life as people age including those who are frail, disabled, and in need of care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{"citationItems":[{"id":"ITEM-1","itemData":{"DOI":"10.1155/2018/9858252","ISSN":"20902212","abstract":"Background. With increasing number of older adults worldwide, promoting health and well-being becomes a priority for aging well. Well-being and physical and mental health are closely related, and this relation may become more vital at older ages as it may contribute to aging well. The state of well-being is a multifaceted phenomenon that refers to an individual's subjective feelings, and exploring perspectives of older adults on aging well is developing to be an important area of research. Therefore, the aim of this study was to explore perceptions on aging well among older adult Palestinians ≥60 years. Methods. A qualitative research design in the context of focus group discussions was used; seven focus groups were conducted including fifty-six participants (aged 63-81 years). Data were analyzed using a qualitative interpretative thematic approach described by Braun and Clarke. Results. Three major themes were identified, \"sense of well-being,\" \"having good physical health,\" and \"preserving good mental health.\" The participants perceived that aging well is influenced by positive feelings such as being joyous, staying independent, having a life purpose, self-possessed contentment, and financially secured, in addition to be socially engaged and enjoying good physical and mental health. Conclusion. This study contributes to get a better insight concerning older adults' perspectives on aging well. Enhancing physically active lifestyle, participation in social and leisure activities, healthy eating habits, having a purpose in life, and being intellectually engaged are all contributing factors to aging well. Vital factors are to be considered in developing strategic health and rehabilitative plans for promoting aging well among older adults.","author":[{"dropping-particle":"","family":"Halaweh","given":"Hadeel","non-dropping-particle":"","parse-names":false,"suffix":""},{"dropping-particle":"","family":"Dahlin-Ivanoff","given":"Synneve","non-dropping-particle":"","parse-names":false,"suffix":""},{"dropping-particle":"","family":"Svantesson","given":"Ulla","non-dropping-particle":"","parse-names":false,"suffix":""},{"dropping-particle":"","family":"Willén","given":"Carin","non-dropping-particle":"","parse-names":false,"suffix":""}],"container-title":"Journal of Aging Research","id":"ITEM-1","issued":{"date-parts":[["2018"]]},"title":"Perspectives of older adults on aging well: A focus group study","type":"article-journal","volume":"2018"},"uris":["http://www.mendeley.com/documents/?uuid=2e33e323-6462-46a7-9883-a3c49ab2987d"]}],"mendeley":{"formattedCitation":"(Halaweh, Dahlin-Ivanoff, Svantesson, &amp; Willén, 2018)","plainTextFormattedCitation":"(Halaweh, Dahlin-Ivanoff, Svantesson, &amp; Willén, 2018)","previouslyFormattedCitation":"(Halaweh, Dahlin-Ivanoff, Svantesson, &amp; Willén, 2018)"},"properties":{"noteIndex":0},"schema":"https://github.com/citation-style-language/schema/raw/master/csl-citation.json"}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(Halaweh, Dahlin-Ivanoff, Svantesson, &amp; Willén, 2018)</w:t>
      </w:r>
      <w:r w:rsidRPr="00C4598C">
        <w:rPr>
          <w:rFonts w:ascii="Palatino Linotype" w:hAnsi="Palatino Linotype" w:cs="Times New Roman"/>
          <w:lang w:val="en-ID"/>
        </w:rPr>
        <w:fldChar w:fldCharType="end"/>
      </w:r>
      <w:r w:rsidRPr="00C4598C">
        <w:rPr>
          <w:rFonts w:ascii="Palatino Linotype" w:hAnsi="Palatino Linotype" w:cs="Times New Roman"/>
          <w:lang w:val="en-ID"/>
        </w:rPr>
        <w:t xml:space="preserve">.Population ageing is a human success story, a reason to celebrate the triumph of public health, medical advancements, and economic and social development over diseases, injuries and early deaths that have limited human life spans throughout history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{"citationItems":[{"id":"ITEM-1","itemData":{"ISBN":"9789211483253","author":[{"dropping-particle":"","family":"Nations","given":"United","non-dropping-particle":"","parse-names":false,"suffix":""}],"id":"ITEM-1","issued":{"date-parts":[["2019"]]},"publisher":"the United Nations","title":"World Population Ageing 2019","type":"entry-encyclopedia"},"uris":["http://www.mendeley.com/documents/?uuid=47b35b94-d425-4ebb-aca7-928c7accc12e"]}],"mendeley":{"formattedCitation":"(Nations, 2019)","plainTextFormattedCitation":"(Nations, 2019)","previouslyFormattedCitation":"(Nations, 2019)"},"properties":{"noteIndex":0},"schema":"https://github.com/citation-style-language/schema/raw/master/csl-citation.json"}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(Nations, 2019)</w:t>
      </w:r>
      <w:r w:rsidRPr="00C4598C">
        <w:rPr>
          <w:rFonts w:ascii="Palatino Linotype" w:hAnsi="Palatino Linotype" w:cs="Times New Roman"/>
          <w:lang w:val="en-ID"/>
        </w:rPr>
        <w:fldChar w:fldCharType="end"/>
      </w:r>
    </w:p>
    <w:p w:rsidR="007E4F86" w:rsidRPr="00C4598C" w:rsidRDefault="007E4F86" w:rsidP="007E4F86">
      <w:pPr>
        <w:spacing w:line="240" w:lineRule="auto"/>
        <w:jc w:val="both"/>
        <w:rPr>
          <w:rFonts w:ascii="Palatino Linotype" w:hAnsi="Palatino Linotype" w:cs="Times New Roman"/>
        </w:rPr>
      </w:pPr>
      <w:r w:rsidRPr="00C4598C">
        <w:rPr>
          <w:rFonts w:ascii="Palatino Linotype" w:hAnsi="Palatino Linotype" w:cs="Times New Roman"/>
          <w:lang w:val="en-ID"/>
        </w:rPr>
        <w:t xml:space="preserve">Healthy People 2030 focuses on reducing health problems and improving quality of life for older adults. Older adults are at higher risk for chronic health problems like diabetes, osteoporosis, and Alzheimer’s disease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{"citationItems":[{"id":"ITEM-1","itemData":{"author":[{"dropping-particle":"","family":"HealthyPeople.gov","given":"","non-dropping-particle":"","parse-names":false,"suffix":""}],"id":"ITEM-1","issued":{"date-parts":[["0"]]},"publisher":"Office of Disease Prevention and Health Promotion","title":"older Adults new","type":"article"},"uris":["http://www.mendeley.com/documents/?uuid=03af2840-d78e-4ff9-b8eb-6ba54240fee9"]}],"mendeley":{"formattedCitation":"(HealthyPeople.gov, n.d.)","plainTextFormattedCitation":"(HealthyPeople.gov, n.d.)","previouslyFormattedCitation":"(HealthyPeople.gov, n.d.)"},"properties":{"noteIndex":0},"schema":"https://github.com/citation-style-language/schema/raw/master/csl-citation.json"}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(HealthyPeople.gov, n.d.)</w:t>
      </w:r>
      <w:r w:rsidRPr="00C4598C">
        <w:rPr>
          <w:rFonts w:ascii="Palatino Linotype" w:hAnsi="Palatino Linotype" w:cs="Times New Roman"/>
          <w:lang w:val="en-ID"/>
        </w:rPr>
        <w:fldChar w:fldCharType="end"/>
      </w:r>
      <w:r w:rsidRPr="00C4598C">
        <w:rPr>
          <w:rFonts w:ascii="Palatino Linotype" w:hAnsi="Palatino Linotype" w:cs="Times New Roman"/>
          <w:lang w:val="en-ID"/>
        </w:rPr>
        <w:t xml:space="preserve">. Older adults  were at high risk for the development of chronic ilnness and related disabilities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{"citationItems":[{"id":"ITEM-1","itemData":{"author":[{"dropping-particle":"","family":"Sumandar","given":"","non-dropping-particle":"","parse-names":false,"suffix":""}],"container-title":"Jurnal keperawatan Soedirman","id":"ITEM-1","issue":"3","issued":{"date-parts":[["2018"]]},"page":"138-145","title":"PREDICTORS OF PREDIABETIC INSIDENCE AMONG ELDERLY IN KERITANG","type":"article-journal","volume":"13"},"uris":["http://www.mendeley.com/documents/?uuid=ef6f0fd6-873f-4ca3-bba3-bf4f17b23135"]}],"mendeley":{"formattedCitation":"(Sumandar, 2018)","plainTextFormattedCitation":"(Sumandar, 2018)","previouslyFormattedCitation":"(Sumandar, 2018)"},"properties":{"noteIndex":0},"schema":"https://github.com/citation-style-language/schema/raw/master/csl-citation.json"}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(Sumandar, 2018)</w:t>
      </w:r>
      <w:r w:rsidRPr="00C4598C">
        <w:rPr>
          <w:rFonts w:ascii="Palatino Linotype" w:hAnsi="Palatino Linotype" w:cs="Times New Roman"/>
          <w:lang w:val="en-ID"/>
        </w:rPr>
        <w:fldChar w:fldCharType="end"/>
      </w:r>
      <w:r w:rsidRPr="00C4598C">
        <w:rPr>
          <w:rFonts w:ascii="Palatino Linotype" w:hAnsi="Palatino Linotype" w:cs="Times New Roman"/>
          <w:lang w:val="en-ID"/>
        </w:rPr>
        <w:t>.</w:t>
      </w:r>
      <w:r w:rsidRPr="00C4598C">
        <w:rPr>
          <w:rFonts w:ascii="Palatino Linotype" w:hAnsi="Palatino Linotype" w:cs="Times New Roman"/>
        </w:rPr>
        <w:t xml:space="preserve"> A total of 818 community‐dwelling older adults were surveyed and the prevalence of high‐need older adults was 24.1% </w:t>
      </w:r>
      <w:r w:rsidRPr="00C4598C">
        <w:rPr>
          <w:rFonts w:ascii="Palatino Linotype" w:hAnsi="Palatino Linotype" w:cs="Times New Roman"/>
        </w:rPr>
        <w:fldChar w:fldCharType="begin" w:fldLock="1"/>
      </w:r>
      <w:r w:rsidRPr="00C4598C">
        <w:rPr>
          <w:rFonts w:ascii="Palatino Linotype" w:hAnsi="Palatino Linotype" w:cs="Times New Roman"/>
        </w:rPr>
        <w:instrText>ADDIN CSL_CITATION {"citationItems":[{"id":"ITEM-1","itemData":{"author":[{"dropping-particle":"","family":"Wei‐Yun Chang,Kuei‐Min Chen,Meng‐Chin Chen, Li‐Yen Yang","given":"Hui‐Fen","non-dropping-particle":"","parse-names":false,"suffix":""}],"container-title":"Health and social care in the community","id":"ITEM-1","issued":{"date-parts":[["2020"]]},"title":"Prevalence and demographic characteristics of high ‐ need community ‐ dwelling older adults in Taiwan","type":"article-journal"},"uris":["http://www.mendeley.com/documents/?uuid=47f4f76d-5641-4bd2-b1c5-8f8e0c38fccf"]}],"mendeley":{"formattedCitation":"(Wei‐Yun Chang,Kuei‐Min Chen,Meng‐Chin Chen, Li‐Yen Yang, 2020)","plainTextFormattedCitation":"(Wei‐Yun Chang,Kuei‐Min Chen,Meng‐Chin Chen, Li‐Yen Yang, 2020)","previouslyFormattedCitation":"(Wei‐Yun Chang,Kuei‐Min Chen,Meng‐Chin Chen, Li‐Yen Yang, 2020)"},"properties":{"noteIndex":0},"schema":"https://github.com/citation-style-language/schema/raw/master/csl-citation.json"}</w:instrText>
      </w:r>
      <w:r w:rsidRPr="00C4598C">
        <w:rPr>
          <w:rFonts w:ascii="Palatino Linotype" w:hAnsi="Palatino Linotype" w:cs="Times New Roman"/>
        </w:rPr>
        <w:fldChar w:fldCharType="separate"/>
      </w:r>
      <w:r w:rsidRPr="00C4598C">
        <w:rPr>
          <w:rFonts w:ascii="Palatino Linotype" w:hAnsi="Palatino Linotype" w:cs="Times New Roman"/>
          <w:noProof/>
        </w:rPr>
        <w:t>(Wei‐Yun Chang,Kuei‐Min Chen,Meng‐Chin Chen, Li‐Yen Yang, 2020)</w:t>
      </w:r>
      <w:r w:rsidRPr="00C4598C">
        <w:rPr>
          <w:rFonts w:ascii="Palatino Linotype" w:hAnsi="Palatino Linotype" w:cs="Times New Roman"/>
        </w:rPr>
        <w:fldChar w:fldCharType="end"/>
      </w:r>
      <w:r w:rsidRPr="00C4598C">
        <w:rPr>
          <w:rFonts w:ascii="Palatino Linotype" w:hAnsi="Palatino Linotype" w:cs="Times New Roman"/>
        </w:rPr>
        <w:t>.</w:t>
      </w:r>
    </w:p>
    <w:p w:rsidR="007E4F86" w:rsidRPr="00C4598C" w:rsidRDefault="007E4F86" w:rsidP="00AB7787">
      <w:pPr>
        <w:spacing w:line="240" w:lineRule="auto"/>
        <w:ind w:firstLine="720"/>
        <w:jc w:val="both"/>
        <w:rPr>
          <w:rFonts w:ascii="Palatino Linotype" w:hAnsi="Palatino Linotype" w:cs="Times New Roman"/>
          <w:lang w:val="en-ID"/>
        </w:rPr>
      </w:pPr>
      <w:r w:rsidRPr="00C4598C">
        <w:rPr>
          <w:rFonts w:ascii="Palatino Linotype" w:hAnsi="Palatino Linotype" w:cs="Times New Roman"/>
          <w:lang w:val="en-ID"/>
        </w:rPr>
        <w:t xml:space="preserve">Some studies have been done conducted by health disorder to older adults. Metabolic syndrome may all contribute to poor muscle health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{"citationItems":[{"id":"ITEM-1","itemData":{"DOI":"10.3390/jcm8020145","ISSN":"2077-0383","abstract":"Ageing, obesity and the metabolic syndrome (MetS) may all contribute to poor muscle health (sarcopenia). This study aimed to determine the cross-sectional associations between MetS (International Diabetes Federation classification) and sarcopenia (revised European Working Group on Sarcopenia in Older People definition) in 84 overweight and obese older adults. Components of sarcopenia included muscle strength (hand grip and leg extension), physical performance (stair climb test and short physical performance battery (SPPB), including gait speed and repeated chair stands time), muscle mass (appendicular lean mass (ALM), dual-energy X-ray absorptiometry), muscle size (peripheral quantitative computed tomography-determined calf and forearm cross-sectional area (CSA)) and muscle quality (muscle density and strength normalised to lean mass). Waist circumference was associated with greater muscle size, but poorer leg extension strength, chair stands and stair climb time, gait speed, SPPB scores and muscle quality measures (all p &lt; 0.05). MetS was positively associated with ALM and forearm muscle CSA, and negatively associated with muscle quality measures and chair stands time (all p &lt; 0.05). MetS is associated with larger muscle size, yet poorer muscle quality in overweight and obese older adults. Assessments of muscle function and quality should be considered for obese older adults and those with MetS.","author":[{"dropping-particle":"","family":"Mesinovic","given":"Jakub","non-dropping-particle":"","parse-names":false,"suffix":""},{"dropping-particle":"","family":"McMillan","given":"Lachlan","non-dropping-particle":"","parse-names":false,"suffix":""},{"dropping-particle":"","family":"Shore-Lorenti","given":"Catherine","non-dropping-particle":"","parse-names":false,"suffix":""},{"dropping-particle":"","family":"Courten","given":"Barbora","non-dropping-particle":"De","parse-names":false,"suffix":""},{"dropping-particle":"","family":"Ebeling","given":"Peter","non-dropping-particle":"","parse-names":false,"suffix":""},{"dropping-particle":"","family":"Scott","given":"David","non-dropping-particle":"","parse-names":false,"suffix":""}],"container-title":"Journal of Clinical Medicine","id":"ITEM-1","issue":"2","issued":{"date-parts":[["2019"]]},"page":"145","title":"Metabolic Syndrome and Its Associations with Components of Sarcopenia in Overweight and Obese Older Adults","type":"article-journal","volume":"8"},"uris":["http://www.mendeley.com/documents/?uuid=c7f2b090-91f6-4441-a7d5-a6527977c49b"]}],"mendeley":{"formattedCitation":"(Mesinovic et al., 2019)","plainTextFormattedCitation":"(Mesinovic et al., 2019)","previouslyFormattedCitation":"(Mesinovic et al., 2019)"},"properties":{"noteIndex":0},"schema":"https://github.com/citation-style-language/schema/raw/master/csl-citation.json"}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(Mesinovic et al., 2019)</w:t>
      </w:r>
      <w:r w:rsidRPr="00C4598C">
        <w:rPr>
          <w:rFonts w:ascii="Palatino Linotype" w:hAnsi="Palatino Linotype" w:cs="Times New Roman"/>
          <w:lang w:val="en-ID"/>
        </w:rPr>
        <w:fldChar w:fldCharType="end"/>
      </w:r>
      <w:r w:rsidRPr="00C4598C">
        <w:rPr>
          <w:rFonts w:ascii="Palatino Linotype" w:hAnsi="Palatino Linotype" w:cs="Times New Roman"/>
          <w:lang w:val="en-ID"/>
        </w:rPr>
        <w:t xml:space="preserve">. Metabolic syndrome is an accumulation of several disorders, which together raise the risk of an individual developing atherosclerotic cardiovascular disease, insulin resistance, and diabetes mellitus, and vascular and neurological complications such as a cerebrovascular accident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{"citationItems":[{"id":"ITEM-1","itemData":{"ISSN":"00347264","abstract":"The metabolic syndrome is an entity each day more recognized, considering that its prevalence is increasing gradually, and with great impact in the health of the individuals. The association of abdominal obesity, insulin resistance, hypertension and dyslipidemia is related to the development of cardiovascular illness, nowadays one of the main causes of death. The present article aims to the identification of the main characteristics of this syndrome, emphasizing the diagnostic criteria considered in literature. Thus, it makes possible the health professional act preventively in the development of atherosclerosis and its consequences. Finally, the article argues the therapeutical aspects available for intervention in this group of patients. © Copyright Moreira Jr. Editora. Todos os direitos reservados.","author":[{"dropping-particle":"","family":"Franke","given":"Andréa Lopes","non-dropping-particle":"","parse-names":false,"suffix":""},{"dropping-particle":"","family":"Suplicy","given":"Henrique","non-dropping-particle":"","parse-names":false,"suffix":""}],"container-title":"Revista Brasileira de Medicina","id":"ITEM-1","issue":"SPEC. ISS.","issued":{"date-parts":[["2007"]]},"number-of-pages":"161-169","title":"Metabolic syndrome","type":"book","volume":"64"},"uris":["http://www.mendeley.com/documents/?uuid=41d9b1a9-f62e-4251-a191-b6829e8f5fe3"]}],"mendeley":{"formattedCitation":"(Franke &amp; Suplicy, 2007)","plainTextFormattedCitation":"(Franke &amp; Suplicy, 2007)","previouslyFormattedCitation":"(Franke &amp; Suplicy, 2007)"},"properties":{"noteIndex":0},"schema":"https://github.com/citation-style-language/schema/raw/master/csl-citation.json"}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(Franke &amp; Suplicy, 2007)</w:t>
      </w:r>
      <w:r w:rsidRPr="00C4598C">
        <w:rPr>
          <w:rFonts w:ascii="Palatino Linotype" w:hAnsi="Palatino Linotype" w:cs="Times New Roman"/>
          <w:lang w:val="en-ID"/>
        </w:rPr>
        <w:fldChar w:fldCharType="end"/>
      </w:r>
      <w:r w:rsidRPr="00C4598C">
        <w:rPr>
          <w:rFonts w:ascii="Palatino Linotype" w:hAnsi="Palatino Linotype" w:cs="Times New Roman"/>
          <w:lang w:val="en-ID"/>
        </w:rPr>
        <w:t xml:space="preserve">. Metabolic syndrome, an important healthcare burden worldwide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{"citationItems":[{"id":"ITEM-1","itemData":{"DOI":"10.3390/ijerph17145021","ISSN":"16604601","PMID":"32668646","abstract":"This study aimed to identify the independent association of handgrip strength and current smoking with cardiometabolic risk in adolescents. Data of 1806 adolescents (12–18 years) from the Korea National Health and Nutrition Examination Surveys were analyzed by complex samples logistic regression analyses. Handgrip strength was normalized by body weight into relative handgrip strength. A cardiometabolic risk index score was calculated from the z-scores of the following components: waist circumference, triglycerides, high-density lipoprotein cholesterol, glucose, and blood pressure. Relative handgrip strength showed an inverse association with high cardiometabolic risk, with an adjusted odds ratio of 8.5 (95% confidence interval [CI], 3.7–19.3) for boys and 5.7 (95% CI, 2.9–11.2) for girls on comparing the lowest and the highest age-and sex-specific quartiles of relative handgrip strength. The adjusted odds ratios for high cardiometabolic risk on comparing the second quartile and the highest quartile of relative handgrip strength were 3.9 (95% CI, 1.7–8.9) in boys and 2.6 (95% CI, 1.3–5.3) in girls. Current smoking was independently associated with high cardiometabolic risk in boys aged 15–18 years. These findings suggest the need to increase muscle strength in adolescents and reduce smoking in older boys to promote cardiometabolic health.","author":[{"dropping-particle":"","family":"Kim","given":"Sae Yun","non-dropping-particle":"","parse-names":false,"suffix":""},{"dropping-particle":"","family":"Lee","given":"Jung Soo","non-dropping-particle":"","parse-names":false,"suffix":""},{"dropping-particle":"","family":"Kim","given":"Yeo Hyung","non-dropping-particle":"","parse-names":false,"suffix":""}],"container-title":"International Journal of Environmental Research and Public Health","id":"ITEM-1","issue":"14","issued":{"date-parts":[["2020"]]},"page":"1-10","title":"Handgrip strength and current smoking are associated with cardiometabolic risk in korean adolescents: A population-based study","type":"article-journal","volume":"17"},"uris":["http://www.mendeley.com/documents/?uuid=50ec3661-08ce-4557-9790-982cc6826995"]}],"mendeley":{"formattedCitation":"(Kim, Lee, &amp; Kim, 2020)","plainTextFormattedCitation":"(Kim, Lee, &amp; Kim, 2020)","previouslyFormattedCitation":"(Kim, Lee, &amp; Kim, 2020)"},"properties":{"noteIndex":0},"schema":"https://github.com/citation-style-language/schema/raw/master/csl-citation.json"}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(Kim, Lee, &amp; Kim, 2020)</w:t>
      </w:r>
      <w:r w:rsidRPr="00C4598C">
        <w:rPr>
          <w:rFonts w:ascii="Palatino Linotype" w:hAnsi="Palatino Linotype" w:cs="Times New Roman"/>
          <w:lang w:val="en-ID"/>
        </w:rPr>
        <w:fldChar w:fldCharType="end"/>
      </w:r>
      <w:r w:rsidRPr="00C4598C">
        <w:rPr>
          <w:rFonts w:ascii="Palatino Linotype" w:hAnsi="Palatino Linotype" w:cs="Times New Roman"/>
          <w:lang w:val="en-ID"/>
        </w:rPr>
        <w:t xml:space="preserve">. </w:t>
      </w:r>
    </w:p>
    <w:p w:rsidR="007E4F86" w:rsidRPr="00C4598C" w:rsidRDefault="007E4F86" w:rsidP="00AB7787">
      <w:pPr>
        <w:spacing w:line="240" w:lineRule="auto"/>
        <w:ind w:firstLine="720"/>
        <w:jc w:val="both"/>
        <w:rPr>
          <w:rFonts w:ascii="Palatino Linotype" w:hAnsi="Palatino Linotype" w:cs="Times New Roman"/>
        </w:rPr>
      </w:pPr>
      <w:r w:rsidRPr="00C4598C">
        <w:rPr>
          <w:rFonts w:ascii="Palatino Linotype" w:hAnsi="Palatino Linotype" w:cs="Times New Roman"/>
          <w:lang w:val="en-ID"/>
        </w:rPr>
        <w:t xml:space="preserve">Handgrip strength is indicative of overall physical health and mobility in the elderly. A reduction in strength below a certain threshold severely increases the risk of mobility limitations and is predictive for adverse outcomes such as dependence in daily activities and mortality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{"citationItems":[{"id":"ITEM-1","itemData":{"DOI":"10.1186/s12877-018-0959-0","ISBN":"1287701809","abstract":"BACKGROUND Handgrip strength is indicative of overall physical health and mobility in the elderly. A reduction in strength below a certain threshold severely increases the risk of mobility limitations and is predictive for adverse outcomes such as dependence in daily activities and mortality. An overview of age- and geography- specific handgrip strength values in older adults provide a reference for further investigations and measures in clinical practice to identify people at risk for clinically meaningful weakness. The aim of this study was to evaluate handgrip strength in the Swiss-German population aged 75 and over. METHODS In a cross-sectional study, maximal isometric handgrip strength of the dominant hand was evaluated in 244 Swiss people aged 75 years and over (62.7% women), with mean age (SD) of 84.5 (5.6) years in men and 83.1 (5.9) years in women. Demographic data and information about comorbidities, medication, fall history, global cognitive function, self-reported physical activity and dependence in activities of daily living were collected, and correlated with grip strength measures. Age- and gender specific grip strength values are reported as means, standard deviations and standard error of mean. RESULTS Sex-stratified handgrip strength was significantly lower with advancing age in men (p &lt; .01), from 37.7 (6.5) kg to 25.6 (7.6) kg and in women (p &lt; .01) from 22.2 (4.0) kg to 16.5 (4.7) kg. Handgrip strength in our sample was significantly higher than in Southern European countries. Handgrip strength was independently associated with age, height and ADL dependence in men and women. Overall, 44% of men and 53% of women had handgrip strength measures that were below the clinically relevant threshold for mobility limitations. CONCLUSION This study reports the age- and sex-stratified reference values for handgrip strength in a representative sample of the Swiss population, aged 75-99 years. Although grip strength decreased with advancing age in both sexes; the relative decline was greater in men than women. Nonetheless men had significantly higher grip strength in all age groups. While the Swiss population sampled had greater grip strength than that reported in other European countries, about 50% were still classified as at risk of mobility limitations.","author":[{"dropping-particle":"","family":"Wearing","given":"Julia","non-dropping-particle":"","parse-names":false,"suffix":""},{"dropping-particle":"","family":"Konings","given":"Peter","non-dropping-particle":"","parse-names":false,"suffix":""},{"dropping-particle":"","family":"Stokes","given":"Maria","non-dropping-particle":"","parse-names":false,"suffix":""},{"dropping-particle":"","family":"Bruin","given":"Eling D.","non-dropping-particle":"de","parse-names":false,"suffix":""}],"container-title":"BMC Geriatrics","id":"ITEM-1","issue":"1","issued":{"date-parts":[["2018"]]},"page":"1-9","publisher":"BMC Geriatrics","title":"Handgrip strength in old and oldest old Swiss adults – a cross-sectional study","type":"article-journal","volume":"18"},"uris":["http://www.mendeley.com/documents/?uuid=374d9667-4b24-4f44-9557-a9734230e13c"]}],"mendeley":{"formattedCitation":"(Wearing, Konings, Stokes, &amp; de Bruin, 2018)","plainTextFormattedCitation":"(Wearing, Konings, Stokes, &amp; de Bruin, 2018)","previouslyFormattedCitation":"(Wearing, Konings, Stokes, &amp; de Bruin, 2018)"},"properties":{"noteIndex":0},"schema":"https://github.com/citation-style-language/schema/raw/master/csl-citation.json"}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(Wearing, Konings, Stokes, &amp; de Bruin, 2018)</w:t>
      </w:r>
      <w:r w:rsidRPr="00C4598C">
        <w:rPr>
          <w:rFonts w:ascii="Palatino Linotype" w:hAnsi="Palatino Linotype" w:cs="Times New Roman"/>
          <w:lang w:val="en-ID"/>
        </w:rPr>
        <w:fldChar w:fldCharType="end"/>
      </w:r>
      <w:r w:rsidRPr="00C4598C">
        <w:rPr>
          <w:rFonts w:ascii="Palatino Linotype" w:hAnsi="Palatino Linotype" w:cs="Times New Roman"/>
          <w:lang w:val="en-ID"/>
        </w:rPr>
        <w:t xml:space="preserve">. Handgrip strength is often used as an indicator of overall muscle strength for aging adults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{"citationItems":[{"id":"ITEM-1","itemData":{"DOI":"10.1007/s40279-018-0952-y","ISSN":"11792035","PMID":"29943230","abstract":"Handgrip strength (HGS) is often used as an indicator of overall muscle strength for aging adults, and low HGS is associated with a variety of poor health outcomes including chronic morbidities, functional disabilities, and all-cause mortality. As public health initiatives and programs target the preservation of muscle strength for aging adults, it is important to understand how HGS factors into the disabling process and the sequence of health events that connect low HGS with premature mortality. Such information will help to inform interventions designed to slow the disabling process and improve health outcomes for those at risk for muscle weakness. Further, unraveling the disabling process and identifying the role of weakness throughout the life course will help to facilitate the adoption of HGS measurements into clinical practice for healthcare providers and their patients. The purposes of this article were to (1) highlight evidence demonstrating the associations between HGS and clinically relevant health outcomes, (2) provide directions for future research in HGS and health, and (3) propose a sequence of health-related events that may better explain the role of muscle weakness in the disabling process.","author":[{"dropping-particle":"","family":"McGrath","given":"Ryan P.","non-dropping-particle":"","parse-names":false,"suffix":""},{"dropping-particle":"","family":"Kraemer","given":"William J.","non-dropping-particle":"","parse-names":false,"suffix":""},{"dropping-particle":"Al","family":"Snih","given":"Soham","non-dropping-particle":"","parse-names":false,"suffix":""},{"dropping-particle":"","family":"Peterson","given":"Mark D.","non-dropping-particle":"","parse-names":false,"suffix":""}],"container-title":"Sports Medicine","id":"ITEM-1","issue":"9","issued":{"date-parts":[["2018"]]},"title":"Handgrip Strength and Health in Aging Adults","type":"article-journal","volume":"48"},"uris":["http://www.mendeley.com/documents/?uuid=9fb0a20e-115b-4030-ae1a-bcb505a1df3c"]}],"mendeley":{"formattedCitation":"(R. P. McGrath, Kraemer, Snih, &amp; Peterson, 2018)","plainTextFormattedCitation":"(R. P. McGrath, Kraemer, Snih, &amp; Peterson, 2018)","previouslyFormattedCitation":"(R. P. McGrath, Kraemer, Snih, &amp; Peterson, 2018)"},"properties":{"noteIndex":0},"schema":"https://github.com/citation-style-language/schema/raw/master/csl-citation.json"}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(R. P. McGrath, Kraemer, Snih, &amp; Peterson, 2018)</w:t>
      </w:r>
      <w:r w:rsidRPr="00C4598C">
        <w:rPr>
          <w:rFonts w:ascii="Palatino Linotype" w:hAnsi="Palatino Linotype" w:cs="Times New Roman"/>
          <w:lang w:val="en-ID"/>
        </w:rPr>
        <w:fldChar w:fldCharType="end"/>
      </w:r>
      <w:r w:rsidRPr="00C4598C">
        <w:rPr>
          <w:rFonts w:ascii="Palatino Linotype" w:hAnsi="Palatino Linotype" w:cs="Times New Roman"/>
          <w:lang w:val="en-ID"/>
        </w:rPr>
        <w:t>.</w:t>
      </w:r>
      <w:r w:rsidRPr="00C4598C">
        <w:rPr>
          <w:rFonts w:ascii="Palatino Linotype" w:hAnsi="Palatino Linotype" w:cs="Times New Roman"/>
        </w:rPr>
        <w:t xml:space="preserve"> </w:t>
      </w:r>
      <w:r w:rsidRPr="00C4598C">
        <w:rPr>
          <w:rFonts w:ascii="Palatino Linotype" w:hAnsi="Palatino Linotype" w:cs="Times New Roman"/>
          <w:lang w:val="en-ID"/>
        </w:rPr>
        <w:t xml:space="preserve">In older adults there is a faster decrease in muscle strength than muscle mass. If the decrease in fast-type muscle fibers greater than in slow-type muscle fibers, it will strongly affects the muscle strength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{"citationItems":[{"id":"ITEM-1","itemData":{"DOI":"10.20473/spmrj.v2i1.2020.24-34","abstract":"ABSTRACTBackground: Sarcopenia is a decrease in muscle mass and strength that mostly happens in the elderly. Sarcopenia is a problem that is often found in the elderly who are at risk of disability, hospitalization and death. This data on muscle mass and strength with physical performance is expected to support the theory of sarcopenia and as a reference in promoting and preventing sarcopenia in elderly.Aims: To analyze the association between muscle mass and strength (handgrip strength) with physical performance assessed using Short Physical Performance Battery (SPPB) in an elderly community.Methods: This study was a cross-sectional observational analytic study involving 203 sample of elderly (age &gt;60 years old). The subjects were categorized as the strong and weak muscle mass and muscle strength, also the high, moderate and low physical performance. We used Bioimpedance Analysis (BIA) and hand dynamometer to measure muscle mass and muscle strength (handgrip strength). SPPB was used to assess physical performance.The association between muscle mass and strength with physical performance was displayed in bivariate analysis with chi square.Result: Of all 203 subjects, 57 were males and 146 were females. Chi square test showed association between muscle strength (handgrip strength) with physical performance (SPPB) (p=0.001), with a weak correlation (r=0.26) and no association between muscle mass and physical performance (SPPB) (p=0.517).Conclusion: There is a positive association between muscle strength with physical performance, with a weak correlation and no association between muscle mass and physical performance in the elderly community in Surabaya.","author":[{"dropping-particle":"","family":"Kristiana","given":"Titin","non-dropping-particle":"","parse-names":false,"suffix":""},{"dropping-particle":"","family":"Widajanti","given":"Novira","non-dropping-particle":"","parse-names":false,"suffix":""},{"dropping-particle":"","family":"Satyawati","given":"Rwahita","non-dropping-particle":"","parse-names":false,"suffix":""}],"container-title":"Surabaya Physical Medicine and Rehabilitation Journal","id":"ITEM-1","issue":"1","issued":{"date-parts":[["2020"]]},"page":"24","title":"Association between Muscle Mass and Muscle Strength with Physical Performance in Elderly in Surabaya","type":"article-journal","volume":"2"},"uris":["http://www.mendeley.com/documents/?uuid=1c31c49c-2eb1-4a4c-ac61-35b399d51201"]}],"mendeley":{"formattedCitation":"(Kristiana, Widajanti, &amp; Satyawati, 2020)","plainTextFormattedCitation":"(Kristiana, Widajanti, &amp; Satyawati, 2020)","previouslyFormattedCitation":"(Kristiana, Widajanti, &amp; Satyawati, 2020)"},"properties":{"noteIndex":0},"schema":"https://github.com/citation-style-language/schema/raw/master/csl-citation.json"}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(Kristiana, Widajanti, &amp; Satyawati, 2020)</w:t>
      </w:r>
      <w:r w:rsidRPr="00C4598C">
        <w:rPr>
          <w:rFonts w:ascii="Palatino Linotype" w:hAnsi="Palatino Linotype" w:cs="Times New Roman"/>
          <w:lang w:val="en-ID"/>
        </w:rPr>
        <w:fldChar w:fldCharType="end"/>
      </w:r>
      <w:r w:rsidRPr="00C4598C">
        <w:rPr>
          <w:rFonts w:ascii="Palatino Linotype" w:hAnsi="Palatino Linotype" w:cs="Times New Roman"/>
          <w:lang w:val="en-ID"/>
        </w:rPr>
        <w:t>.</w:t>
      </w:r>
      <w:r w:rsidRPr="00C4598C">
        <w:rPr>
          <w:rFonts w:ascii="Palatino Linotype" w:hAnsi="Palatino Linotype" w:cs="Times New Roman"/>
        </w:rPr>
        <w:t xml:space="preserve"> Measures of handgrip strength can be used to conveniently assess overall muscle strength capacity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{"citationItems":[{"id":"ITEM-1","itemData":{"DOI":"10.1177/2050312120910358","ISSN":"2050-3121","abstract":"Measures of handgrip strength can be used to conveniently assess overall muscle strength capacity. Although stand-alone measures of handgrip strength provide robust health information, the clinical meaningfulness to determine prevention and treatment options for weakness remains limited because the etiology of muscle weakness remains unclear. Moreover, clinical outcomes associated with handgrip strength are wide-ranging. Therefore, disentangling how handgrip strength is associated with health conditions that are metabolically or neurologically driven may improve our understanding of the factors linked to handgrip strength. The purpose of this topical review was to highlight and summarize evidence examining the associations of handgrip strength with certain health outcomes that are metabolically and neurologically driven. From this perusal of the literature, we posit that stand-alone handgrip strength be considered an umbrella assessment of the body systems that contribute to strength capacity, and a panoptic measurement of muscle strength that is representative of overall health status, not a specific health condition. Recommendations for future strength capacity–related research are also provided.","author":[{"dropping-particle":"","family":"McGrath","given":"Ryan","non-dropping-particle":"","parse-names":false,"suffix":""},{"dropping-particle":"","family":"Johnson","given":"Nathaniel","non-dropping-particle":"","parse-names":false,"suffix":""},{"dropping-particle":"","family":"Klawitter","given":"Lukus","non-dropping-particle":"","parse-names":false,"suffix":""},{"dropping-particle":"","family":"Mahoney","given":"Sean","non-dropping-particle":"","parse-names":false,"suffix":""},{"dropping-particle":"","family":"Trautman","given":"Kara","non-dropping-particle":"","parse-names":false,"suffix":""},{"dropping-particle":"","family":"Carlson","given":"Caroline","non-dropping-particle":"","parse-names":false,"suffix":""},{"dropping-particle":"","family":"Rockstad","given":"Ella","non-dropping-particle":"","parse-names":false,"suffix":""},{"dropping-particle":"","family":"Hackney","given":"Kyle J","non-dropping-particle":"","parse-names":false,"suffix":""}],"container-title":"SAGE Open Medicine","id":"ITEM-1","issued":{"date-parts":[["2020"]]},"page":"205031212091035","title":"What are the association patterns between handgrip strength and adverse health conditions? A topical review","type":"article-journal","volume":"8"},"uris":["http://www.mendeley.com/documents/?uuid=1e3b5d50-d8c8-41a8-a1cc-e8abc6c0e93b"]}],"mendeley":{"formattedCitation":"(R. McGrath et al., 2020)","plainTextFormattedCitation":"(R. McGrath et al., 2020)","previouslyFormattedCitation":"(R. McGrath et al., 2020)"},"properties":{"noteIndex":0},"schema":"https://github.com/citation-style-language/schema/raw/master/csl-citation.json"}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(R. McGrath et al., 2020)</w:t>
      </w:r>
      <w:r w:rsidRPr="00C4598C">
        <w:rPr>
          <w:rFonts w:ascii="Palatino Linotype" w:hAnsi="Palatino Linotype" w:cs="Times New Roman"/>
          <w:lang w:val="en-ID"/>
        </w:rPr>
        <w:fldChar w:fldCharType="end"/>
      </w:r>
    </w:p>
    <w:p w:rsidR="007E4F86" w:rsidRPr="00C4598C" w:rsidRDefault="007E4F86" w:rsidP="007E4F86">
      <w:pPr>
        <w:spacing w:line="240" w:lineRule="auto"/>
        <w:jc w:val="both"/>
        <w:rPr>
          <w:rFonts w:ascii="Palatino Linotype" w:hAnsi="Palatino Linotype" w:cs="Times New Roman"/>
          <w:lang w:val="en-ID"/>
        </w:rPr>
      </w:pPr>
      <w:r w:rsidRPr="00C4598C">
        <w:rPr>
          <w:rFonts w:ascii="Palatino Linotype" w:hAnsi="Palatino Linotype" w:cs="Times New Roman"/>
          <w:color w:val="000000"/>
          <w:shd w:val="clear" w:color="auto" w:fill="FFFFFF"/>
        </w:rPr>
        <w:t xml:space="preserve">Previous studies have evaluate </w:t>
      </w:r>
      <w:r w:rsidRPr="00C4598C">
        <w:rPr>
          <w:rFonts w:ascii="Palatino Linotype" w:hAnsi="Palatino Linotype" w:cs="Times New Roman"/>
          <w:lang w:val="en-ID"/>
        </w:rPr>
        <w:t xml:space="preserve">from Wu SW, Wu SF, Liang HW, Wu ZT, Huang S : 2009 for measuring factors affecting grip strength in a Taiwan Chinese population and a comparison with consolidated norms handgrip strength is assessed using hand dynamometer, which has a good and safe results, also with a reasonable price and easy to get and use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{"citationItems":[{"id":"ITEM-1","itemData":{"DOI":"10.20473/spmrj.v2i1.2020.24-34","abstract":"ABSTRACTBackground: Sarcopenia is a decrease in muscle mass and strength that mostly happens in the elderly. Sarcopenia is a problem that is often found in the elderly who are at risk of disability, hospitalization and death. This data on muscle mass and strength with physical performance is expected to support the theory of sarcopenia and as a reference in promoting and preventing sarcopenia in elderly.Aims: To analyze the association between muscle mass and strength (handgrip strength) with physical performance assessed using Short Physical Performance Battery (SPPB) in an elderly community.Methods: This study was a cross-sectional observational analytic study involving 203 sample of elderly (age &gt;60 years old). The subjects were categorized as the strong and weak muscle mass and muscle strength, also the high, moderate and low physical performance. We used Bioimpedance Analysis (BIA) and hand dynamometer to measure muscle mass and muscle strength (handgrip strength). SPPB was used to assess physical performance.The association between muscle mass and strength with physical performance was displayed in bivariate analysis with chi square.Result: Of all 203 subjects, 57 were males and 146 were females. Chi square test showed association between muscle strength (handgrip strength) with physical performance (SPPB) (p=0.001), with a weak correlation (r=0.26) and no association between muscle mass and physical performance (SPPB) (p=0.517).Conclusion: There is a positive association between muscle strength with physical performance, with a weak correlation and no association between muscle mass and physical performance in the elderly community in Surabaya.","author":[{"dropping-particle":"","family":"Kristiana","given":"Titin","non-dropping-particle":"","parse-names":false,"suffix":""},{"dropping-particle":"","family":"Widajanti","given":"Novira","non-dropping-particle":"","parse-names":false,"suffix":""},{"dropping-particle":"","family":"Satyawati","given":"Rwahita","non-dropping-particle":"","parse-names":false,"suffix":""}],"container-title":"Surabaya Physical Medicine and Rehabilitation Journal","id":"ITEM-1","issue":"1","issued":{"date-parts":[["2020"]]},"page":"24","title":"Association between Muscle Mass and Muscle Strength with Physical Performance in Elderly in Surabaya","type":"article-journal","volume":"2"},"uris":["http://www.mendeley.com/documents/?uuid=1c31c49c-2eb1-4a4c-ac61-35b399d51201"]}],"mendeley":{"formattedCitation":"(Kristiana et al., 2020)","plainTextFormattedCitation":"(Kristiana et al., 2020)","previouslyFormattedCitation":"(Kristiana et al., 2020)"},"properties":{"noteIndex":0},"schema":"https://github.com/citation-style-language/schema/raw/master/csl-citation.json"}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(Kristiana et al., 2020)</w:t>
      </w:r>
      <w:r w:rsidRPr="00C4598C">
        <w:rPr>
          <w:rFonts w:ascii="Palatino Linotype" w:hAnsi="Palatino Linotype" w:cs="Times New Roman"/>
          <w:lang w:val="en-ID"/>
        </w:rPr>
        <w:fldChar w:fldCharType="end"/>
      </w:r>
      <w:r w:rsidRPr="00C4598C">
        <w:rPr>
          <w:rFonts w:ascii="Palatino Linotype" w:hAnsi="Palatino Linotype" w:cs="Times New Roman"/>
          <w:lang w:val="en-ID"/>
        </w:rPr>
        <w:t xml:space="preserve">. </w:t>
      </w:r>
    </w:p>
    <w:p w:rsidR="007E4F86" w:rsidRPr="00C4598C" w:rsidRDefault="007E4F86" w:rsidP="004731AC">
      <w:pPr>
        <w:shd w:val="clear" w:color="auto" w:fill="FFFFFF"/>
        <w:jc w:val="both"/>
        <w:rPr>
          <w:rFonts w:ascii="Palatino Linotype" w:hAnsi="Palatino Linotype"/>
          <w:b/>
        </w:rPr>
      </w:pPr>
      <w:r w:rsidRPr="00C4598C">
        <w:rPr>
          <w:rFonts w:ascii="Palatino Linotype" w:hAnsi="Palatino Linotype"/>
          <w:b/>
        </w:rPr>
        <w:t>Objective</w:t>
      </w:r>
    </w:p>
    <w:p w:rsidR="007E4F86" w:rsidRPr="00C4598C" w:rsidRDefault="007E4F86" w:rsidP="009455A8">
      <w:pPr>
        <w:shd w:val="clear" w:color="auto" w:fill="FFFFFF"/>
        <w:ind w:firstLine="720"/>
        <w:jc w:val="both"/>
        <w:rPr>
          <w:rFonts w:ascii="Palatino Linotype" w:hAnsi="Palatino Linotype"/>
          <w:b/>
        </w:rPr>
      </w:pPr>
      <w:r w:rsidRPr="00C4598C">
        <w:rPr>
          <w:rFonts w:ascii="Palatino Linotype" w:hAnsi="Palatino Linotype" w:cs="Times New Roman"/>
          <w:lang w:val="en-ID"/>
        </w:rPr>
        <w:t xml:space="preserve">The </w:t>
      </w:r>
      <w:r w:rsidRPr="00C4598C">
        <w:rPr>
          <w:rFonts w:ascii="Palatino Linotype" w:hAnsi="Palatino Linotype"/>
        </w:rPr>
        <w:t>o</w:t>
      </w:r>
      <w:r w:rsidRPr="00C4598C">
        <w:rPr>
          <w:rFonts w:ascii="Palatino Linotype" w:hAnsi="Palatino Linotype"/>
        </w:rPr>
        <w:t>bjective</w:t>
      </w:r>
      <w:r w:rsidRPr="00C4598C">
        <w:rPr>
          <w:rFonts w:ascii="Palatino Linotype" w:hAnsi="Palatino Linotype"/>
          <w:b/>
        </w:rPr>
        <w:t xml:space="preserve"> </w:t>
      </w:r>
      <w:r w:rsidRPr="00C4598C">
        <w:rPr>
          <w:rFonts w:ascii="Palatino Linotype" w:hAnsi="Palatino Linotype" w:cs="Times New Roman"/>
          <w:lang w:val="en-ID"/>
        </w:rPr>
        <w:t>of study was to analyze the association gender, employed status,  metabolic syndrome with handgrip strength among community-dwelling older adults in the Kulim Distric Pekanbaru Indonesia</w:t>
      </w:r>
    </w:p>
    <w:p w:rsidR="007E4F86" w:rsidRPr="00C4598C" w:rsidRDefault="007E4F86" w:rsidP="004731AC">
      <w:pPr>
        <w:shd w:val="clear" w:color="auto" w:fill="FFFFFF"/>
        <w:jc w:val="both"/>
        <w:rPr>
          <w:rFonts w:ascii="Palatino Linotype" w:hAnsi="Palatino Linotype"/>
          <w:b/>
        </w:rPr>
      </w:pPr>
      <w:r w:rsidRPr="00C4598C">
        <w:rPr>
          <w:rFonts w:ascii="Palatino Linotype" w:hAnsi="Palatino Linotype"/>
          <w:b/>
        </w:rPr>
        <w:t>Methods</w:t>
      </w:r>
    </w:p>
    <w:p w:rsidR="009455A8" w:rsidRDefault="007E4F86" w:rsidP="009455A8">
      <w:pPr>
        <w:spacing w:line="240" w:lineRule="auto"/>
        <w:ind w:firstLine="720"/>
        <w:jc w:val="both"/>
        <w:rPr>
          <w:rFonts w:ascii="Palatino Linotype" w:hAnsi="Palatino Linotype" w:cs="Times New Roman"/>
          <w:color w:val="000000"/>
        </w:rPr>
      </w:pPr>
      <w:r w:rsidRPr="00C4598C">
        <w:rPr>
          <w:rFonts w:ascii="Palatino Linotype" w:hAnsi="Palatino Linotype" w:cs="Times New Roman"/>
          <w:lang w:val="en-ID"/>
        </w:rPr>
        <w:t xml:space="preserve">Study was observasional analytic with cross sectional approach. There were 102 older adults dwelling-community in Kulim Distric Pekanbaru Indonesia selected by cluster sampling. Study based on inclusion criteria namely </w:t>
      </w:r>
      <w:r w:rsidRPr="00C4598C">
        <w:rPr>
          <w:rFonts w:ascii="Palatino Linotype" w:hAnsi="Palatino Linotype" w:cs="Times New Roman"/>
          <w:color w:val="000000"/>
        </w:rPr>
        <w:t xml:space="preserve">being able to cooperations and communication, fit of mental health, </w:t>
      </w:r>
      <w:r w:rsidRPr="00C4598C">
        <w:rPr>
          <w:rFonts w:ascii="Palatino Linotype" w:hAnsi="Palatino Linotype" w:cs="Times New Roman"/>
        </w:rPr>
        <w:t>had no vision and hearing impairment during data collection processes.</w:t>
      </w:r>
      <w:r w:rsidRPr="00C4598C">
        <w:rPr>
          <w:rFonts w:ascii="Palatino Linotype" w:hAnsi="Palatino Linotype" w:cs="Times New Roman"/>
          <w:lang w:val="en-ID"/>
        </w:rPr>
        <w:t xml:space="preserve"> </w:t>
      </w:r>
      <w:r w:rsidRPr="00C4598C">
        <w:rPr>
          <w:rFonts w:ascii="Palatino Linotype" w:hAnsi="Palatino Linotype" w:cs="Times New Roman"/>
          <w:color w:val="000000"/>
        </w:rPr>
        <w:t xml:space="preserve">All participants were given verbal and written information about the aim of the study and they signed an informed consent form. </w:t>
      </w:r>
    </w:p>
    <w:p w:rsidR="007E4F86" w:rsidRPr="00C4598C" w:rsidRDefault="007E4F86" w:rsidP="009455A8">
      <w:pPr>
        <w:spacing w:line="240" w:lineRule="auto"/>
        <w:ind w:firstLine="720"/>
        <w:jc w:val="both"/>
        <w:rPr>
          <w:rFonts w:ascii="Palatino Linotype" w:hAnsi="Palatino Linotype" w:cs="Times New Roman"/>
        </w:rPr>
      </w:pPr>
      <w:r w:rsidRPr="00C4598C">
        <w:rPr>
          <w:rFonts w:ascii="Palatino Linotype" w:hAnsi="Palatino Linotype" w:cs="Times New Roman"/>
          <w:color w:val="000000"/>
        </w:rPr>
        <w:t>The participants were ensured confidentiality and informed that participation was voluntary and that they could drop out of the study at any time. The study received ethical approval from ethical review board for medicine and health research med</w:t>
      </w:r>
      <w:r w:rsidR="009455A8">
        <w:rPr>
          <w:rFonts w:ascii="Palatino Linotype" w:hAnsi="Palatino Linotype" w:cs="Times New Roman"/>
          <w:color w:val="000000"/>
        </w:rPr>
        <w:t xml:space="preserve">icine faculty Riau University </w:t>
      </w:r>
      <w:r w:rsidRPr="00C4598C">
        <w:rPr>
          <w:rFonts w:ascii="Palatino Linotype" w:hAnsi="Palatino Linotype" w:cs="Times New Roman"/>
          <w:color w:val="000000"/>
        </w:rPr>
        <w:t>(</w:t>
      </w:r>
      <w:r w:rsidRPr="00C4598C">
        <w:rPr>
          <w:rFonts w:ascii="Palatino Linotype" w:hAnsi="Palatino Linotype" w:cs="Times New Roman"/>
          <w:b/>
          <w:color w:val="000000"/>
        </w:rPr>
        <w:t>Number.B/13/UN.19.5.1.1.8/UEPKK/2020</w:t>
      </w:r>
      <w:r w:rsidRPr="00C4598C">
        <w:rPr>
          <w:rFonts w:ascii="Palatino Linotype" w:hAnsi="Palatino Linotype" w:cs="Times New Roman"/>
          <w:color w:val="000000"/>
        </w:rPr>
        <w:t>).</w:t>
      </w:r>
      <w:r w:rsidRPr="00C4598C">
        <w:rPr>
          <w:rFonts w:ascii="Palatino Linotype" w:hAnsi="Palatino Linotype" w:cs="Times New Roman"/>
          <w:lang w:val="en-ID"/>
        </w:rPr>
        <w:t xml:space="preserve"> </w:t>
      </w:r>
      <w:r w:rsidRPr="00C4598C">
        <w:rPr>
          <w:rFonts w:ascii="Palatino Linotype" w:hAnsi="Palatino Linotype" w:cs="Times New Roman"/>
          <w:color w:val="000000"/>
        </w:rPr>
        <w:t xml:space="preserve">There were measure three parts of measure namely demographic character, </w:t>
      </w:r>
      <w:r w:rsidRPr="00C4598C">
        <w:rPr>
          <w:rFonts w:ascii="Palatino Linotype" w:hAnsi="Palatino Linotype" w:cs="Times New Roman"/>
        </w:rPr>
        <w:t>clinical characteristics such as prevalence of  metabolic syndrome, hand grip strength. For instruments have been translated into Indonesia language.</w:t>
      </w:r>
    </w:p>
    <w:p w:rsidR="007E4F86" w:rsidRPr="00C4598C" w:rsidRDefault="007E4F86" w:rsidP="009455A8">
      <w:pPr>
        <w:spacing w:line="240" w:lineRule="auto"/>
        <w:ind w:firstLine="720"/>
        <w:jc w:val="both"/>
        <w:rPr>
          <w:rFonts w:ascii="Palatino Linotype" w:hAnsi="Palatino Linotype" w:cs="Times New Roman"/>
        </w:rPr>
      </w:pPr>
      <w:r w:rsidRPr="00C4598C">
        <w:rPr>
          <w:rFonts w:ascii="Palatino Linotype" w:hAnsi="Palatino Linotype" w:cs="Times New Roman"/>
          <w:color w:val="202020"/>
          <w:shd w:val="clear" w:color="auto" w:fill="FFFFFF"/>
        </w:rPr>
        <w:t xml:space="preserve">The procedure measure of metabolic syndrome  namely hypertension was measured by </w:t>
      </w:r>
      <w:r w:rsidRPr="00C4598C">
        <w:rPr>
          <w:rFonts w:ascii="Palatino Linotype" w:hAnsi="Palatino Linotype" w:cs="Times New Roman"/>
          <w:color w:val="4D5156"/>
          <w:shd w:val="clear" w:color="auto" w:fill="FFFFFF"/>
        </w:rPr>
        <w:t>sfigmomanometer,</w:t>
      </w:r>
      <w:r w:rsidRPr="00C4598C">
        <w:rPr>
          <w:rFonts w:ascii="Palatino Linotype" w:hAnsi="Palatino Linotype" w:cs="Times New Roman"/>
        </w:rPr>
        <w:t xml:space="preserve"> glucose was measured by glucose meter (one touch basic monitor) after 8 hours of fasting, while cholesterol level was measured by  an automatic lipid pro-meter by inserting blood from peripheral into strips of a blood cholesterol test, central obesity was measured by meter. Furthermore handgrip strength was measured by hand dynamometer. Dominant handgrip strength was assessed, (Handgrip strength &lt;26 kg for men, &lt;18 kg for women) </w:t>
      </w:r>
      <w:r w:rsidRPr="00C4598C">
        <w:rPr>
          <w:rFonts w:ascii="Palatino Linotype" w:hAnsi="Palatino Linotype" w:cs="Times New Roman"/>
        </w:rPr>
        <w:fldChar w:fldCharType="begin" w:fldLock="1"/>
      </w:r>
      <w:r w:rsidRPr="00C4598C">
        <w:rPr>
          <w:rFonts w:ascii="Palatino Linotype" w:hAnsi="Palatino Linotype" w:cs="Times New Roman"/>
        </w:rPr>
        <w:instrText>ADDIN CSL_CITATION {"citationItems":[{"id":"ITEM-1","itemData":{"DOI":"10.1111/ggi.13571","ISSN":"14470594","PMID":"30575241","abstract":"Aim: The present cross-sectional study examined the associations of social frailty status with loss of muscle mass and weakness among community-dwelling older adults. Methods: Data from 353 older adults (74.8% women) who had participated in a community-based health check survey (Tarumizu Study) were analyzed. Social frailty was defined using responses to five questions (going out less frequently, rarely visiting friends, feeling unhelpful to friends or family, living alone and not talking with someone every day). Participants with two or more components were considered socially frail. We assessed appendicular skeletal muscle mass using bioelectrical impedance analysis and calculated appendicular skeletal muscle index. Dominant handgrip strength was assessed. Loss of skeletal muscle mass (appendicular skeletal muscle index &lt;7.0 kg/m 2 for men, &lt;5.7 kg/m 2 for women) and muscle weakness (handgrip strength &lt;26 kg for men, &lt;18 kg for women) were determined based on the Asian Working Group for Sarcopenia criteria. Results: The prevalence of social frailty was 14.7%. A higher prevalence of muscle weakness and loss of skeletal muscle mass in participants with social frailty was shown than in those without (muscle weakness 44.2% vs 23.6%, P ≤ 0.05; loss of skeletal muscle mass 59.6% vs 46.2%, P = 0.07). Social frailty was independently associated with muscle weakness (odds ratio 2.04, 95% confidence interval 1.06–3.95), but not with loss of skeletal muscle mass (odds ratio 1.47, 95% confidence interval 0.78–2.76) after adjusting for covariates. Conclusions: Social frailty status could be associated with muscle weakness, though not a loss of skeletal muscle mass. Geriatr Gerontol Int 2019; 19: 76–80.","author":[{"dropping-particle":"","family":"Makizako","given":"Hyuma","non-dropping-particle":"","parse-names":false,"suffix":""},{"dropping-particle":"","family":"Kubozono","given":"Takuro","non-dropping-particle":"","parse-names":false,"suffix":""},{"dropping-particle":"","family":"Kiyama","given":"Ryoji","non-dropping-particle":"","parse-names":false,"suffix":""},{"dropping-particle":"","family":"Takenaka","given":"Toshihiro","non-dropping-particle":"","parse-names":false,"suffix":""},{"dropping-particle":"","family":"Kuwahata","given":"So","non-dropping-particle":"","parse-names":false,"suffix":""},{"dropping-particle":"","family":"Tabira","given":"Takayuki","non-dropping-particle":"","parse-names":false,"suffix":""},{"dropping-particle":"","family":"Kanoya","given":"Tsutomu","non-dropping-particle":"","parse-names":false,"suffix":""},{"dropping-particle":"","family":"Horinouchi","given":"Kouko","non-dropping-particle":"","parse-names":false,"suffix":""},{"dropping-particle":"","family":"Shimada","given":"Hiroyuki","non-dropping-particle":"","parse-names":false,"suffix":""},{"dropping-particle":"","family":"Ohishi","given":"Mitsuru","non-dropping-particle":"","parse-names":false,"suffix":""}],"container-title":"Geriatrics and Gerontology International","id":"ITEM-1","issue":"1","issued":{"date-parts":[["2019"]]},"page":"76-80","title":"Associations of social frailty with loss of muscle mass and muscle weakness among community-dwelling older adults","type":"article-journal","volume":"19"},"uris":["http://www.mendeley.com/documents/?uuid=becec29c-7fa8-4790-97a9-c1c34f2e113a"]}],"mendeley":{"formattedCitation":"(Makizako et al., 2019)","plainTextFormattedCitation":"(Makizako et al., 2019)","previouslyFormattedCitation":"(Makizako et al., 2019)"},"properties":{"noteIndex":0},"schema":"https://github.com/citation-style-language/schema/raw/master/csl-citation.json"}</w:instrText>
      </w:r>
      <w:r w:rsidRPr="00C4598C">
        <w:rPr>
          <w:rFonts w:ascii="Palatino Linotype" w:hAnsi="Palatino Linotype" w:cs="Times New Roman"/>
        </w:rPr>
        <w:fldChar w:fldCharType="separate"/>
      </w:r>
      <w:r w:rsidRPr="00C4598C">
        <w:rPr>
          <w:rFonts w:ascii="Palatino Linotype" w:hAnsi="Palatino Linotype" w:cs="Times New Roman"/>
          <w:noProof/>
        </w:rPr>
        <w:t>(Makizako et al., 2019)</w:t>
      </w:r>
      <w:r w:rsidRPr="00C4598C">
        <w:rPr>
          <w:rFonts w:ascii="Palatino Linotype" w:hAnsi="Palatino Linotype" w:cs="Times New Roman"/>
        </w:rPr>
        <w:fldChar w:fldCharType="end"/>
      </w:r>
      <w:r w:rsidRPr="00C4598C">
        <w:rPr>
          <w:rFonts w:ascii="Palatino Linotype" w:hAnsi="Palatino Linotype" w:cs="Times New Roman"/>
        </w:rPr>
        <w:t xml:space="preserve"> and the tool was using grip 3 times. Highest number was using.  Statistical Package for Social Sciences version 22 carry out for process and analysis data. Data were presented by describing proportions of categorical variables. The significance on gender, employed status, prevalence of metabolic syndrome with  handgrip strength were used by chi-square with p value less than 0,05.</w:t>
      </w:r>
    </w:p>
    <w:p w:rsidR="007E4F86" w:rsidRPr="00C4598C" w:rsidRDefault="007E4F86" w:rsidP="004731AC">
      <w:pPr>
        <w:shd w:val="clear" w:color="auto" w:fill="FFFFFF"/>
        <w:jc w:val="both"/>
        <w:rPr>
          <w:rFonts w:ascii="Palatino Linotype" w:hAnsi="Palatino Linotype"/>
          <w:b/>
        </w:rPr>
      </w:pPr>
      <w:r w:rsidRPr="00C4598C">
        <w:rPr>
          <w:rFonts w:ascii="Palatino Linotype" w:hAnsi="Palatino Linotype"/>
          <w:b/>
        </w:rPr>
        <w:t>Results</w:t>
      </w:r>
    </w:p>
    <w:p w:rsidR="007E4F86" w:rsidRPr="00C4598C" w:rsidRDefault="007E4F86" w:rsidP="009455A8">
      <w:pPr>
        <w:shd w:val="clear" w:color="auto" w:fill="FFFFFF"/>
        <w:ind w:firstLine="720"/>
        <w:jc w:val="both"/>
        <w:rPr>
          <w:rFonts w:ascii="Palatino Linotype" w:hAnsi="Palatino Linotype" w:cs="Times New Roman"/>
          <w:lang w:val="en-ID"/>
        </w:rPr>
      </w:pPr>
      <w:r w:rsidRPr="00C4598C">
        <w:rPr>
          <w:rFonts w:ascii="Palatino Linotype" w:hAnsi="Palatino Linotype" w:cs="Times New Roman"/>
          <w:lang w:val="en-ID"/>
        </w:rPr>
        <w:t>102 older adults in community dwelling in the Kulim Distric Pekanbaru Indonesia show that 66,7 percentange were female, 70,6 percentange were unemployed, prevalence of metabolic syndrome 20,6 percentange were yes, handgrip strength 60,8 percentange were low. More information can be seen in the table 1</w:t>
      </w:r>
    </w:p>
    <w:p w:rsidR="009455A8" w:rsidRDefault="009455A8" w:rsidP="007E4F86">
      <w:pPr>
        <w:spacing w:line="240" w:lineRule="auto"/>
        <w:ind w:left="993" w:hanging="993"/>
        <w:jc w:val="both"/>
        <w:rPr>
          <w:rFonts w:ascii="Palatino Linotype" w:hAnsi="Palatino Linotype" w:cs="Times New Roman"/>
          <w:b/>
          <w:lang w:val="en-ID"/>
        </w:rPr>
      </w:pPr>
    </w:p>
    <w:p w:rsidR="007E4F86" w:rsidRPr="00C4598C" w:rsidRDefault="007E4F86" w:rsidP="007E4F86">
      <w:pPr>
        <w:spacing w:line="240" w:lineRule="auto"/>
        <w:ind w:left="993" w:hanging="993"/>
        <w:jc w:val="both"/>
        <w:rPr>
          <w:rFonts w:ascii="Palatino Linotype" w:hAnsi="Palatino Linotype" w:cs="Times New Roman"/>
          <w:b/>
          <w:lang w:val="en-ID"/>
        </w:rPr>
      </w:pPr>
      <w:r w:rsidRPr="00C4598C">
        <w:rPr>
          <w:rFonts w:ascii="Palatino Linotype" w:hAnsi="Palatino Linotype" w:cs="Times New Roman"/>
          <w:b/>
          <w:lang w:val="en-ID"/>
        </w:rPr>
        <w:t>Tabel 1. Gender, Employed status, Metabolic syndrome, handgrip strength amongcommunity-dwelling older adults In Kulim Distric Pekanbaru Indonesia</w:t>
      </w:r>
    </w:p>
    <w:tbl>
      <w:tblPr>
        <w:tblStyle w:val="TableGrid"/>
        <w:tblW w:w="0" w:type="auto"/>
        <w:tblLook w:val="04A0" w:firstRow="1" w:lastRow="0" w:firstColumn="1" w:lastColumn="0" w:noHBand="0" w:noVBand="1"/>
      </w:tblPr>
      <w:tblGrid>
        <w:gridCol w:w="2161"/>
        <w:gridCol w:w="1173"/>
        <w:gridCol w:w="1208"/>
      </w:tblGrid>
      <w:tr w:rsidR="007E4F86" w:rsidRPr="00C4598C" w:rsidTr="001758B9">
        <w:tc>
          <w:tcPr>
            <w:tcW w:w="3794" w:type="dxa"/>
          </w:tcPr>
          <w:p w:rsidR="007E4F86" w:rsidRPr="00C4598C" w:rsidRDefault="007E4F86" w:rsidP="009455A8">
            <w:pPr>
              <w:rPr>
                <w:rFonts w:ascii="Palatino Linotype" w:hAnsi="Palatino Linotype" w:cs="Times New Roman"/>
                <w:b/>
                <w:lang w:val="en-ID"/>
              </w:rPr>
            </w:pPr>
            <w:r w:rsidRPr="00C4598C">
              <w:rPr>
                <w:rFonts w:ascii="Palatino Linotype" w:hAnsi="Palatino Linotype" w:cs="Times New Roman"/>
                <w:b/>
                <w:lang w:val="en-ID"/>
              </w:rPr>
              <w:t>Variables</w:t>
            </w:r>
          </w:p>
        </w:tc>
        <w:tc>
          <w:tcPr>
            <w:tcW w:w="2977" w:type="dxa"/>
          </w:tcPr>
          <w:p w:rsidR="007E4F86" w:rsidRPr="00C4598C" w:rsidRDefault="007E4F86" w:rsidP="009455A8">
            <w:pPr>
              <w:jc w:val="center"/>
              <w:rPr>
                <w:rFonts w:ascii="Palatino Linotype" w:hAnsi="Palatino Linotype" w:cs="Times New Roman"/>
                <w:b/>
                <w:lang w:val="en-ID"/>
              </w:rPr>
            </w:pPr>
            <w:r w:rsidRPr="00C4598C">
              <w:rPr>
                <w:rFonts w:ascii="Palatino Linotype" w:hAnsi="Palatino Linotype" w:cs="Times New Roman"/>
                <w:b/>
                <w:lang w:val="en-ID"/>
              </w:rPr>
              <w:t>F</w:t>
            </w:r>
          </w:p>
        </w:tc>
        <w:tc>
          <w:tcPr>
            <w:tcW w:w="2693" w:type="dxa"/>
          </w:tcPr>
          <w:p w:rsidR="007E4F86" w:rsidRPr="00C4598C" w:rsidRDefault="007E4F86" w:rsidP="009455A8">
            <w:pPr>
              <w:jc w:val="center"/>
              <w:rPr>
                <w:rFonts w:ascii="Palatino Linotype" w:hAnsi="Palatino Linotype" w:cs="Times New Roman"/>
                <w:b/>
                <w:lang w:val="en-ID"/>
              </w:rPr>
            </w:pPr>
            <w:r w:rsidRPr="00C4598C">
              <w:rPr>
                <w:rFonts w:ascii="Palatino Linotype" w:hAnsi="Palatino Linotype" w:cs="Times New Roman"/>
                <w:b/>
                <w:lang w:val="en-ID"/>
              </w:rPr>
              <w:t>%</w:t>
            </w:r>
          </w:p>
        </w:tc>
      </w:tr>
      <w:tr w:rsidR="007E4F86" w:rsidRPr="00C4598C" w:rsidTr="001758B9">
        <w:tc>
          <w:tcPr>
            <w:tcW w:w="9464" w:type="dxa"/>
            <w:gridSpan w:val="3"/>
          </w:tcPr>
          <w:p w:rsidR="007E4F86" w:rsidRPr="00C4598C" w:rsidRDefault="007E4F86" w:rsidP="009455A8">
            <w:pPr>
              <w:jc w:val="both"/>
              <w:rPr>
                <w:rFonts w:ascii="Palatino Linotype" w:hAnsi="Palatino Linotype" w:cs="Times New Roman"/>
                <w:b/>
                <w:lang w:val="en-ID"/>
              </w:rPr>
            </w:pPr>
            <w:r w:rsidRPr="00C4598C">
              <w:rPr>
                <w:rFonts w:ascii="Palatino Linotype" w:hAnsi="Palatino Linotype" w:cs="Times New Roman"/>
                <w:b/>
                <w:lang w:val="en-ID"/>
              </w:rPr>
              <w:t>Gender</w:t>
            </w:r>
          </w:p>
        </w:tc>
      </w:tr>
      <w:tr w:rsidR="007E4F86" w:rsidRPr="00C4598C" w:rsidTr="001758B9">
        <w:tc>
          <w:tcPr>
            <w:tcW w:w="3794" w:type="dxa"/>
          </w:tcPr>
          <w:p w:rsidR="007E4F86" w:rsidRPr="00C4598C" w:rsidRDefault="007E4F86" w:rsidP="009455A8">
            <w:pPr>
              <w:jc w:val="both"/>
              <w:rPr>
                <w:rFonts w:ascii="Palatino Linotype" w:hAnsi="Palatino Linotype" w:cs="Times New Roman"/>
                <w:lang w:val="en-ID"/>
              </w:rPr>
            </w:pPr>
            <w:r w:rsidRPr="00C4598C">
              <w:rPr>
                <w:rFonts w:ascii="Palatino Linotype" w:hAnsi="Palatino Linotype" w:cs="Times New Roman"/>
                <w:lang w:val="en-ID"/>
              </w:rPr>
              <w:t>Female</w:t>
            </w:r>
          </w:p>
        </w:tc>
        <w:tc>
          <w:tcPr>
            <w:tcW w:w="2977" w:type="dxa"/>
          </w:tcPr>
          <w:p w:rsidR="007E4F86" w:rsidRPr="00C4598C" w:rsidRDefault="007E4F86" w:rsidP="009455A8">
            <w:pPr>
              <w:jc w:val="center"/>
              <w:rPr>
                <w:rFonts w:ascii="Palatino Linotype" w:hAnsi="Palatino Linotype" w:cs="Times New Roman"/>
                <w:lang w:val="en-ID"/>
              </w:rPr>
            </w:pPr>
            <w:r w:rsidRPr="00C4598C">
              <w:rPr>
                <w:rFonts w:ascii="Palatino Linotype" w:hAnsi="Palatino Linotype" w:cs="Times New Roman"/>
                <w:lang w:val="en-ID"/>
              </w:rPr>
              <w:t>68</w:t>
            </w:r>
          </w:p>
        </w:tc>
        <w:tc>
          <w:tcPr>
            <w:tcW w:w="2693" w:type="dxa"/>
          </w:tcPr>
          <w:p w:rsidR="007E4F86" w:rsidRPr="00C4598C" w:rsidRDefault="007E4F86" w:rsidP="009455A8">
            <w:pPr>
              <w:jc w:val="center"/>
              <w:rPr>
                <w:rFonts w:ascii="Palatino Linotype" w:hAnsi="Palatino Linotype" w:cs="Times New Roman"/>
                <w:lang w:val="en-ID"/>
              </w:rPr>
            </w:pPr>
            <w:r w:rsidRPr="00C4598C">
              <w:rPr>
                <w:rFonts w:ascii="Palatino Linotype" w:hAnsi="Palatino Linotype" w:cs="Times New Roman"/>
                <w:lang w:val="en-ID"/>
              </w:rPr>
              <w:t>67,7</w:t>
            </w:r>
          </w:p>
        </w:tc>
      </w:tr>
      <w:tr w:rsidR="007E4F86" w:rsidRPr="00C4598C" w:rsidTr="001758B9">
        <w:tc>
          <w:tcPr>
            <w:tcW w:w="3794" w:type="dxa"/>
          </w:tcPr>
          <w:p w:rsidR="007E4F86" w:rsidRPr="00C4598C" w:rsidRDefault="007E4F86" w:rsidP="009455A8">
            <w:pPr>
              <w:jc w:val="both"/>
              <w:rPr>
                <w:rFonts w:ascii="Palatino Linotype" w:hAnsi="Palatino Linotype" w:cs="Times New Roman"/>
                <w:lang w:val="en-ID"/>
              </w:rPr>
            </w:pPr>
            <w:r w:rsidRPr="00C4598C">
              <w:rPr>
                <w:rFonts w:ascii="Palatino Linotype" w:hAnsi="Palatino Linotype" w:cs="Times New Roman"/>
                <w:lang w:val="en-ID"/>
              </w:rPr>
              <w:t>Male</w:t>
            </w:r>
          </w:p>
        </w:tc>
        <w:tc>
          <w:tcPr>
            <w:tcW w:w="2977" w:type="dxa"/>
          </w:tcPr>
          <w:p w:rsidR="007E4F86" w:rsidRPr="00C4598C" w:rsidRDefault="007E4F86" w:rsidP="009455A8">
            <w:pPr>
              <w:jc w:val="center"/>
              <w:rPr>
                <w:rFonts w:ascii="Palatino Linotype" w:hAnsi="Palatino Linotype" w:cs="Times New Roman"/>
                <w:lang w:val="en-ID"/>
              </w:rPr>
            </w:pPr>
            <w:r w:rsidRPr="00C4598C">
              <w:rPr>
                <w:rFonts w:ascii="Palatino Linotype" w:hAnsi="Palatino Linotype" w:cs="Times New Roman"/>
                <w:lang w:val="en-ID"/>
              </w:rPr>
              <w:t>34</w:t>
            </w:r>
          </w:p>
        </w:tc>
        <w:tc>
          <w:tcPr>
            <w:tcW w:w="2693" w:type="dxa"/>
          </w:tcPr>
          <w:p w:rsidR="007E4F86" w:rsidRPr="00C4598C" w:rsidRDefault="007E4F86" w:rsidP="009455A8">
            <w:pPr>
              <w:jc w:val="center"/>
              <w:rPr>
                <w:rFonts w:ascii="Palatino Linotype" w:hAnsi="Palatino Linotype" w:cs="Times New Roman"/>
                <w:lang w:val="en-ID"/>
              </w:rPr>
            </w:pPr>
            <w:r w:rsidRPr="00C4598C">
              <w:rPr>
                <w:rFonts w:ascii="Palatino Linotype" w:hAnsi="Palatino Linotype" w:cs="Times New Roman"/>
                <w:lang w:val="en-ID"/>
              </w:rPr>
              <w:t>33,3</w:t>
            </w:r>
          </w:p>
        </w:tc>
      </w:tr>
      <w:tr w:rsidR="007E4F86" w:rsidRPr="00C4598C" w:rsidTr="001758B9">
        <w:tc>
          <w:tcPr>
            <w:tcW w:w="9464" w:type="dxa"/>
            <w:gridSpan w:val="3"/>
          </w:tcPr>
          <w:p w:rsidR="007E4F86" w:rsidRPr="00C4598C" w:rsidRDefault="007E4F86" w:rsidP="009455A8">
            <w:pPr>
              <w:rPr>
                <w:rFonts w:ascii="Palatino Linotype" w:hAnsi="Palatino Linotype" w:cs="Times New Roman"/>
                <w:lang w:val="en-ID"/>
              </w:rPr>
            </w:pPr>
            <w:r w:rsidRPr="00C4598C">
              <w:rPr>
                <w:rFonts w:ascii="Palatino Linotype" w:hAnsi="Palatino Linotype" w:cs="Times New Roman"/>
                <w:b/>
                <w:lang w:val="en-ID"/>
              </w:rPr>
              <w:t>Employed status</w:t>
            </w:r>
          </w:p>
        </w:tc>
      </w:tr>
      <w:tr w:rsidR="007E4F86" w:rsidRPr="00C4598C" w:rsidTr="001758B9">
        <w:tc>
          <w:tcPr>
            <w:tcW w:w="3794" w:type="dxa"/>
          </w:tcPr>
          <w:p w:rsidR="007E4F86" w:rsidRPr="00C4598C" w:rsidRDefault="007E4F86" w:rsidP="009455A8">
            <w:pPr>
              <w:jc w:val="both"/>
              <w:rPr>
                <w:rFonts w:ascii="Palatino Linotype" w:hAnsi="Palatino Linotype" w:cs="Times New Roman"/>
                <w:lang w:val="en-ID"/>
              </w:rPr>
            </w:pPr>
            <w:r w:rsidRPr="00C4598C">
              <w:rPr>
                <w:rFonts w:ascii="Palatino Linotype" w:hAnsi="Palatino Linotype" w:cs="Times New Roman"/>
                <w:lang w:val="en-ID"/>
              </w:rPr>
              <w:t>Unemployed</w:t>
            </w:r>
          </w:p>
        </w:tc>
        <w:tc>
          <w:tcPr>
            <w:tcW w:w="2977" w:type="dxa"/>
          </w:tcPr>
          <w:p w:rsidR="007E4F86" w:rsidRPr="00C4598C" w:rsidRDefault="007E4F86" w:rsidP="009455A8">
            <w:pPr>
              <w:jc w:val="center"/>
              <w:rPr>
                <w:rFonts w:ascii="Palatino Linotype" w:hAnsi="Palatino Linotype" w:cs="Times New Roman"/>
                <w:lang w:val="en-ID"/>
              </w:rPr>
            </w:pPr>
            <w:r w:rsidRPr="00C4598C">
              <w:rPr>
                <w:rFonts w:ascii="Palatino Linotype" w:hAnsi="Palatino Linotype" w:cs="Times New Roman"/>
                <w:lang w:val="en-ID"/>
              </w:rPr>
              <w:t>72</w:t>
            </w:r>
          </w:p>
        </w:tc>
        <w:tc>
          <w:tcPr>
            <w:tcW w:w="2693" w:type="dxa"/>
          </w:tcPr>
          <w:p w:rsidR="007E4F86" w:rsidRPr="00C4598C" w:rsidRDefault="007E4F86" w:rsidP="009455A8">
            <w:pPr>
              <w:jc w:val="center"/>
              <w:rPr>
                <w:rFonts w:ascii="Palatino Linotype" w:hAnsi="Palatino Linotype" w:cs="Times New Roman"/>
                <w:lang w:val="en-ID"/>
              </w:rPr>
            </w:pPr>
            <w:r w:rsidRPr="00C4598C">
              <w:rPr>
                <w:rFonts w:ascii="Palatino Linotype" w:hAnsi="Palatino Linotype" w:cs="Times New Roman"/>
                <w:lang w:val="en-ID"/>
              </w:rPr>
              <w:t>70,6</w:t>
            </w:r>
          </w:p>
        </w:tc>
      </w:tr>
      <w:tr w:rsidR="007E4F86" w:rsidRPr="00C4598C" w:rsidTr="001758B9">
        <w:tc>
          <w:tcPr>
            <w:tcW w:w="3794" w:type="dxa"/>
          </w:tcPr>
          <w:p w:rsidR="007E4F86" w:rsidRPr="00C4598C" w:rsidRDefault="007E4F86" w:rsidP="009455A8">
            <w:pPr>
              <w:jc w:val="both"/>
              <w:rPr>
                <w:rFonts w:ascii="Palatino Linotype" w:hAnsi="Palatino Linotype" w:cs="Times New Roman"/>
                <w:lang w:val="en-ID"/>
              </w:rPr>
            </w:pPr>
            <w:r w:rsidRPr="00C4598C">
              <w:rPr>
                <w:rFonts w:ascii="Palatino Linotype" w:hAnsi="Palatino Linotype" w:cs="Times New Roman"/>
                <w:lang w:val="en-ID"/>
              </w:rPr>
              <w:t>Employed</w:t>
            </w:r>
          </w:p>
        </w:tc>
        <w:tc>
          <w:tcPr>
            <w:tcW w:w="2977" w:type="dxa"/>
          </w:tcPr>
          <w:p w:rsidR="007E4F86" w:rsidRPr="00C4598C" w:rsidRDefault="007E4F86" w:rsidP="009455A8">
            <w:pPr>
              <w:jc w:val="center"/>
              <w:rPr>
                <w:rFonts w:ascii="Palatino Linotype" w:hAnsi="Palatino Linotype" w:cs="Times New Roman"/>
                <w:lang w:val="en-ID"/>
              </w:rPr>
            </w:pPr>
            <w:r w:rsidRPr="00C4598C">
              <w:rPr>
                <w:rFonts w:ascii="Palatino Linotype" w:hAnsi="Palatino Linotype" w:cs="Times New Roman"/>
                <w:lang w:val="en-ID"/>
              </w:rPr>
              <w:t>30</w:t>
            </w:r>
          </w:p>
        </w:tc>
        <w:tc>
          <w:tcPr>
            <w:tcW w:w="2693" w:type="dxa"/>
          </w:tcPr>
          <w:p w:rsidR="007E4F86" w:rsidRPr="00C4598C" w:rsidRDefault="007E4F86" w:rsidP="009455A8">
            <w:pPr>
              <w:jc w:val="center"/>
              <w:rPr>
                <w:rFonts w:ascii="Palatino Linotype" w:hAnsi="Palatino Linotype" w:cs="Times New Roman"/>
                <w:lang w:val="en-ID"/>
              </w:rPr>
            </w:pPr>
            <w:r w:rsidRPr="00C4598C">
              <w:rPr>
                <w:rFonts w:ascii="Palatino Linotype" w:hAnsi="Palatino Linotype" w:cs="Times New Roman"/>
                <w:lang w:val="en-ID"/>
              </w:rPr>
              <w:t>29,4</w:t>
            </w:r>
          </w:p>
        </w:tc>
      </w:tr>
      <w:tr w:rsidR="007E4F86" w:rsidRPr="00C4598C" w:rsidTr="001758B9">
        <w:tc>
          <w:tcPr>
            <w:tcW w:w="3794" w:type="dxa"/>
          </w:tcPr>
          <w:p w:rsidR="007E4F86" w:rsidRPr="00C4598C" w:rsidRDefault="007E4F86" w:rsidP="009455A8">
            <w:pPr>
              <w:jc w:val="both"/>
              <w:rPr>
                <w:rFonts w:ascii="Palatino Linotype" w:hAnsi="Palatino Linotype" w:cs="Times New Roman"/>
                <w:b/>
                <w:lang w:val="en-ID"/>
              </w:rPr>
            </w:pPr>
            <w:r w:rsidRPr="00C4598C">
              <w:rPr>
                <w:rFonts w:ascii="Palatino Linotype" w:hAnsi="Palatino Linotype" w:cs="Times New Roman"/>
                <w:b/>
                <w:lang w:val="en-ID"/>
              </w:rPr>
              <w:t>Metabolic syndrome</w:t>
            </w:r>
          </w:p>
        </w:tc>
        <w:tc>
          <w:tcPr>
            <w:tcW w:w="2977" w:type="dxa"/>
          </w:tcPr>
          <w:p w:rsidR="007E4F86" w:rsidRPr="00C4598C" w:rsidRDefault="007E4F86" w:rsidP="009455A8">
            <w:pPr>
              <w:jc w:val="center"/>
              <w:rPr>
                <w:rFonts w:ascii="Palatino Linotype" w:hAnsi="Palatino Linotype" w:cs="Times New Roman"/>
                <w:lang w:val="en-ID"/>
              </w:rPr>
            </w:pPr>
          </w:p>
        </w:tc>
        <w:tc>
          <w:tcPr>
            <w:tcW w:w="2693" w:type="dxa"/>
          </w:tcPr>
          <w:p w:rsidR="007E4F86" w:rsidRPr="00C4598C" w:rsidRDefault="007E4F86" w:rsidP="009455A8">
            <w:pPr>
              <w:jc w:val="center"/>
              <w:rPr>
                <w:rFonts w:ascii="Palatino Linotype" w:hAnsi="Palatino Linotype" w:cs="Times New Roman"/>
                <w:lang w:val="en-ID"/>
              </w:rPr>
            </w:pPr>
          </w:p>
        </w:tc>
      </w:tr>
      <w:tr w:rsidR="007E4F86" w:rsidRPr="00C4598C" w:rsidTr="001758B9">
        <w:tc>
          <w:tcPr>
            <w:tcW w:w="3794" w:type="dxa"/>
          </w:tcPr>
          <w:p w:rsidR="007E4F86" w:rsidRPr="00C4598C" w:rsidRDefault="007E4F86" w:rsidP="009455A8">
            <w:pPr>
              <w:jc w:val="both"/>
              <w:rPr>
                <w:rFonts w:ascii="Palatino Linotype" w:hAnsi="Palatino Linotype" w:cs="Times New Roman"/>
                <w:lang w:val="en-ID"/>
              </w:rPr>
            </w:pPr>
            <w:r w:rsidRPr="00C4598C">
              <w:rPr>
                <w:rFonts w:ascii="Palatino Linotype" w:hAnsi="Palatino Linotype" w:cs="Times New Roman"/>
                <w:lang w:val="en-ID"/>
              </w:rPr>
              <w:t>No</w:t>
            </w:r>
          </w:p>
        </w:tc>
        <w:tc>
          <w:tcPr>
            <w:tcW w:w="2977" w:type="dxa"/>
          </w:tcPr>
          <w:p w:rsidR="007E4F86" w:rsidRPr="00C4598C" w:rsidRDefault="007E4F86" w:rsidP="009455A8">
            <w:pPr>
              <w:jc w:val="center"/>
              <w:rPr>
                <w:rFonts w:ascii="Palatino Linotype" w:hAnsi="Palatino Linotype" w:cs="Times New Roman"/>
                <w:lang w:val="en-ID"/>
              </w:rPr>
            </w:pPr>
            <w:r w:rsidRPr="00C4598C">
              <w:rPr>
                <w:rFonts w:ascii="Palatino Linotype" w:hAnsi="Palatino Linotype" w:cs="Times New Roman"/>
                <w:lang w:val="en-ID"/>
              </w:rPr>
              <w:t>81</w:t>
            </w:r>
          </w:p>
        </w:tc>
        <w:tc>
          <w:tcPr>
            <w:tcW w:w="2693" w:type="dxa"/>
          </w:tcPr>
          <w:p w:rsidR="007E4F86" w:rsidRPr="00C4598C" w:rsidRDefault="007E4F86" w:rsidP="009455A8">
            <w:pPr>
              <w:jc w:val="center"/>
              <w:rPr>
                <w:rFonts w:ascii="Palatino Linotype" w:hAnsi="Palatino Linotype" w:cs="Times New Roman"/>
                <w:lang w:val="en-ID"/>
              </w:rPr>
            </w:pPr>
            <w:r w:rsidRPr="00C4598C">
              <w:rPr>
                <w:rFonts w:ascii="Palatino Linotype" w:hAnsi="Palatino Linotype" w:cs="Times New Roman"/>
                <w:lang w:val="en-ID"/>
              </w:rPr>
              <w:t>70,4</w:t>
            </w:r>
          </w:p>
        </w:tc>
      </w:tr>
      <w:tr w:rsidR="007E4F86" w:rsidRPr="00C4598C" w:rsidTr="001758B9">
        <w:tc>
          <w:tcPr>
            <w:tcW w:w="3794" w:type="dxa"/>
          </w:tcPr>
          <w:p w:rsidR="007E4F86" w:rsidRPr="00C4598C" w:rsidRDefault="007E4F86" w:rsidP="009455A8">
            <w:pPr>
              <w:jc w:val="both"/>
              <w:rPr>
                <w:rFonts w:ascii="Palatino Linotype" w:hAnsi="Palatino Linotype" w:cs="Times New Roman"/>
                <w:lang w:val="en-ID"/>
              </w:rPr>
            </w:pPr>
            <w:r w:rsidRPr="00C4598C">
              <w:rPr>
                <w:rFonts w:ascii="Palatino Linotype" w:hAnsi="Palatino Linotype" w:cs="Times New Roman"/>
                <w:lang w:val="en-ID"/>
              </w:rPr>
              <w:t>Yes</w:t>
            </w:r>
          </w:p>
        </w:tc>
        <w:tc>
          <w:tcPr>
            <w:tcW w:w="2977" w:type="dxa"/>
          </w:tcPr>
          <w:p w:rsidR="007E4F86" w:rsidRPr="00C4598C" w:rsidRDefault="007E4F86" w:rsidP="009455A8">
            <w:pPr>
              <w:jc w:val="center"/>
              <w:rPr>
                <w:rFonts w:ascii="Palatino Linotype" w:hAnsi="Palatino Linotype" w:cs="Times New Roman"/>
                <w:lang w:val="en-ID"/>
              </w:rPr>
            </w:pPr>
            <w:r w:rsidRPr="00C4598C">
              <w:rPr>
                <w:rFonts w:ascii="Palatino Linotype" w:hAnsi="Palatino Linotype" w:cs="Times New Roman"/>
                <w:lang w:val="en-ID"/>
              </w:rPr>
              <w:t>21</w:t>
            </w:r>
          </w:p>
        </w:tc>
        <w:tc>
          <w:tcPr>
            <w:tcW w:w="2693" w:type="dxa"/>
          </w:tcPr>
          <w:p w:rsidR="007E4F86" w:rsidRPr="00C4598C" w:rsidRDefault="007E4F86" w:rsidP="009455A8">
            <w:pPr>
              <w:jc w:val="center"/>
              <w:rPr>
                <w:rFonts w:ascii="Palatino Linotype" w:hAnsi="Palatino Linotype" w:cs="Times New Roman"/>
                <w:lang w:val="en-ID"/>
              </w:rPr>
            </w:pPr>
            <w:r w:rsidRPr="00C4598C">
              <w:rPr>
                <w:rFonts w:ascii="Palatino Linotype" w:hAnsi="Palatino Linotype" w:cs="Times New Roman"/>
                <w:lang w:val="en-ID"/>
              </w:rPr>
              <w:t>20,6</w:t>
            </w:r>
          </w:p>
        </w:tc>
      </w:tr>
      <w:tr w:rsidR="007E4F86" w:rsidRPr="00C4598C" w:rsidTr="001758B9">
        <w:tc>
          <w:tcPr>
            <w:tcW w:w="9464" w:type="dxa"/>
            <w:gridSpan w:val="3"/>
          </w:tcPr>
          <w:p w:rsidR="007E4F86" w:rsidRPr="00C4598C" w:rsidRDefault="007E4F86" w:rsidP="009455A8">
            <w:pPr>
              <w:rPr>
                <w:rFonts w:ascii="Palatino Linotype" w:hAnsi="Palatino Linotype" w:cs="Times New Roman"/>
                <w:lang w:val="en-ID"/>
              </w:rPr>
            </w:pPr>
            <w:r w:rsidRPr="00C4598C">
              <w:rPr>
                <w:rFonts w:ascii="Palatino Linotype" w:hAnsi="Palatino Linotype" w:cs="Times New Roman"/>
                <w:b/>
                <w:lang w:val="en-ID"/>
              </w:rPr>
              <w:t>Handgrip Strenght</w:t>
            </w:r>
          </w:p>
        </w:tc>
      </w:tr>
      <w:tr w:rsidR="007E4F86" w:rsidRPr="00C4598C" w:rsidTr="001758B9">
        <w:tc>
          <w:tcPr>
            <w:tcW w:w="3794" w:type="dxa"/>
          </w:tcPr>
          <w:p w:rsidR="007E4F86" w:rsidRPr="00C4598C" w:rsidRDefault="007E4F86" w:rsidP="009455A8">
            <w:pPr>
              <w:jc w:val="both"/>
              <w:rPr>
                <w:rFonts w:ascii="Palatino Linotype" w:hAnsi="Palatino Linotype" w:cs="Times New Roman"/>
                <w:lang w:val="en-ID"/>
              </w:rPr>
            </w:pPr>
            <w:r w:rsidRPr="00C4598C">
              <w:rPr>
                <w:rFonts w:ascii="Palatino Linotype" w:hAnsi="Palatino Linotype" w:cs="Times New Roman"/>
                <w:lang w:val="en-ID"/>
              </w:rPr>
              <w:t>Low</w:t>
            </w:r>
          </w:p>
        </w:tc>
        <w:tc>
          <w:tcPr>
            <w:tcW w:w="2977" w:type="dxa"/>
          </w:tcPr>
          <w:p w:rsidR="007E4F86" w:rsidRPr="00C4598C" w:rsidRDefault="007E4F86" w:rsidP="009455A8">
            <w:pPr>
              <w:jc w:val="center"/>
              <w:rPr>
                <w:rFonts w:ascii="Palatino Linotype" w:hAnsi="Palatino Linotype" w:cs="Times New Roman"/>
                <w:lang w:val="en-ID"/>
              </w:rPr>
            </w:pPr>
            <w:r w:rsidRPr="00C4598C">
              <w:rPr>
                <w:rFonts w:ascii="Palatino Linotype" w:hAnsi="Palatino Linotype" w:cs="Times New Roman"/>
                <w:lang w:val="en-ID"/>
              </w:rPr>
              <w:t>62</w:t>
            </w:r>
          </w:p>
        </w:tc>
        <w:tc>
          <w:tcPr>
            <w:tcW w:w="2693" w:type="dxa"/>
          </w:tcPr>
          <w:p w:rsidR="007E4F86" w:rsidRPr="00C4598C" w:rsidRDefault="007E4F86" w:rsidP="009455A8">
            <w:pPr>
              <w:jc w:val="center"/>
              <w:rPr>
                <w:rFonts w:ascii="Palatino Linotype" w:hAnsi="Palatino Linotype" w:cs="Times New Roman"/>
                <w:lang w:val="en-ID"/>
              </w:rPr>
            </w:pPr>
            <w:r w:rsidRPr="00C4598C">
              <w:rPr>
                <w:rFonts w:ascii="Palatino Linotype" w:hAnsi="Palatino Linotype" w:cs="Times New Roman"/>
                <w:lang w:val="en-ID"/>
              </w:rPr>
              <w:t>60,8</w:t>
            </w:r>
          </w:p>
        </w:tc>
      </w:tr>
      <w:tr w:rsidR="007E4F86" w:rsidRPr="00C4598C" w:rsidTr="001758B9">
        <w:tc>
          <w:tcPr>
            <w:tcW w:w="3794" w:type="dxa"/>
          </w:tcPr>
          <w:p w:rsidR="007E4F86" w:rsidRPr="00C4598C" w:rsidRDefault="007E4F86" w:rsidP="009455A8">
            <w:pPr>
              <w:jc w:val="both"/>
              <w:rPr>
                <w:rFonts w:ascii="Palatino Linotype" w:hAnsi="Palatino Linotype" w:cs="Times New Roman"/>
                <w:lang w:val="en-ID"/>
              </w:rPr>
            </w:pPr>
            <w:r w:rsidRPr="00C4598C">
              <w:rPr>
                <w:rFonts w:ascii="Palatino Linotype" w:hAnsi="Palatino Linotype" w:cs="Times New Roman"/>
                <w:lang w:val="en-ID"/>
              </w:rPr>
              <w:t>Normal</w:t>
            </w:r>
          </w:p>
        </w:tc>
        <w:tc>
          <w:tcPr>
            <w:tcW w:w="2977" w:type="dxa"/>
          </w:tcPr>
          <w:p w:rsidR="007E4F86" w:rsidRPr="00C4598C" w:rsidRDefault="007E4F86" w:rsidP="009455A8">
            <w:pPr>
              <w:jc w:val="center"/>
              <w:rPr>
                <w:rFonts w:ascii="Palatino Linotype" w:hAnsi="Palatino Linotype" w:cs="Times New Roman"/>
                <w:lang w:val="en-ID"/>
              </w:rPr>
            </w:pPr>
            <w:r w:rsidRPr="00C4598C">
              <w:rPr>
                <w:rFonts w:ascii="Palatino Linotype" w:hAnsi="Palatino Linotype" w:cs="Times New Roman"/>
                <w:lang w:val="en-ID"/>
              </w:rPr>
              <w:t>40</w:t>
            </w:r>
          </w:p>
        </w:tc>
        <w:tc>
          <w:tcPr>
            <w:tcW w:w="2693" w:type="dxa"/>
          </w:tcPr>
          <w:p w:rsidR="007E4F86" w:rsidRPr="00C4598C" w:rsidRDefault="007E4F86" w:rsidP="009455A8">
            <w:pPr>
              <w:jc w:val="center"/>
              <w:rPr>
                <w:rFonts w:ascii="Palatino Linotype" w:hAnsi="Palatino Linotype" w:cs="Times New Roman"/>
                <w:lang w:val="en-ID"/>
              </w:rPr>
            </w:pPr>
            <w:r w:rsidRPr="00C4598C">
              <w:rPr>
                <w:rFonts w:ascii="Palatino Linotype" w:hAnsi="Palatino Linotype" w:cs="Times New Roman"/>
                <w:lang w:val="en-ID"/>
              </w:rPr>
              <w:t>39,3</w:t>
            </w:r>
          </w:p>
        </w:tc>
      </w:tr>
    </w:tbl>
    <w:p w:rsidR="00AB7787" w:rsidRDefault="00AB7787" w:rsidP="00C4598C">
      <w:pPr>
        <w:spacing w:line="240" w:lineRule="auto"/>
        <w:jc w:val="both"/>
        <w:rPr>
          <w:rFonts w:ascii="Palatino Linotype" w:hAnsi="Palatino Linotype" w:cs="Times New Roman"/>
          <w:b/>
          <w:lang w:val="en-ID"/>
        </w:rPr>
      </w:pPr>
    </w:p>
    <w:p w:rsidR="00AB7787" w:rsidRDefault="007E4F86" w:rsidP="00C4598C">
      <w:pPr>
        <w:spacing w:line="240" w:lineRule="auto"/>
        <w:jc w:val="both"/>
        <w:rPr>
          <w:rFonts w:ascii="Palatino Linotype" w:hAnsi="Palatino Linotype" w:cs="Times New Roman"/>
          <w:b/>
          <w:lang w:val="en-ID"/>
        </w:rPr>
      </w:pPr>
      <w:r w:rsidRPr="00C4598C">
        <w:rPr>
          <w:rFonts w:ascii="Palatino Linotype" w:hAnsi="Palatino Linotype" w:cs="Times New Roman"/>
          <w:b/>
          <w:lang w:val="en-ID"/>
        </w:rPr>
        <w:t xml:space="preserve">Tabel 2. Association af Gender, Employed </w:t>
      </w:r>
    </w:p>
    <w:p w:rsidR="00C4598C" w:rsidRPr="00C4598C" w:rsidRDefault="007E4F86" w:rsidP="00C4598C">
      <w:pPr>
        <w:spacing w:line="240" w:lineRule="auto"/>
        <w:jc w:val="both"/>
        <w:rPr>
          <w:rFonts w:ascii="Palatino Linotype" w:hAnsi="Palatino Linotype" w:cs="Times New Roman"/>
          <w:b/>
          <w:lang w:val="en-ID"/>
        </w:rPr>
      </w:pPr>
      <w:r w:rsidRPr="00C4598C">
        <w:rPr>
          <w:rFonts w:ascii="Palatino Linotype" w:hAnsi="Palatino Linotype" w:cs="Times New Roman"/>
          <w:b/>
          <w:lang w:val="en-ID"/>
        </w:rPr>
        <w:t xml:space="preserve">status, Metabolic syndrome, Handgrip </w:t>
      </w:r>
    </w:p>
    <w:tbl>
      <w:tblPr>
        <w:tblStyle w:val="TableGrid"/>
        <w:tblpPr w:leftFromText="180" w:rightFromText="180" w:vertAnchor="text" w:horzAnchor="page" w:tblpX="276" w:tblpY="257"/>
        <w:tblW w:w="5664" w:type="dxa"/>
        <w:tblLayout w:type="fixed"/>
        <w:tblLook w:val="04A0" w:firstRow="1" w:lastRow="0" w:firstColumn="1" w:lastColumn="0" w:noHBand="0" w:noVBand="1"/>
      </w:tblPr>
      <w:tblGrid>
        <w:gridCol w:w="1128"/>
        <w:gridCol w:w="850"/>
        <w:gridCol w:w="993"/>
        <w:gridCol w:w="850"/>
        <w:gridCol w:w="992"/>
        <w:gridCol w:w="851"/>
      </w:tblGrid>
      <w:tr w:rsidR="00AB7787" w:rsidRPr="004F05DC" w:rsidTr="00AB7787">
        <w:tc>
          <w:tcPr>
            <w:tcW w:w="1128" w:type="dxa"/>
            <w:vMerge w:val="restart"/>
          </w:tcPr>
          <w:p w:rsidR="00AB7787" w:rsidRPr="004F05DC" w:rsidRDefault="00AB7787" w:rsidP="00AB7787">
            <w:pPr>
              <w:jc w:val="both"/>
              <w:rPr>
                <w:rFonts w:ascii="Palatino Linotype" w:hAnsi="Palatino Linotype" w:cs="Times New Roman"/>
                <w:b/>
                <w:lang w:val="en-ID"/>
              </w:rPr>
            </w:pPr>
            <w:r w:rsidRPr="004F05DC">
              <w:rPr>
                <w:rFonts w:ascii="Palatino Linotype" w:hAnsi="Palatino Linotype" w:cs="Times New Roman"/>
                <w:b/>
                <w:lang w:val="en-ID"/>
              </w:rPr>
              <w:t>Variables</w:t>
            </w:r>
          </w:p>
        </w:tc>
        <w:tc>
          <w:tcPr>
            <w:tcW w:w="1843" w:type="dxa"/>
            <w:gridSpan w:val="2"/>
          </w:tcPr>
          <w:p w:rsidR="00AB7787" w:rsidRPr="004F05DC" w:rsidRDefault="00AB7787" w:rsidP="00AB7787">
            <w:pPr>
              <w:jc w:val="center"/>
              <w:rPr>
                <w:rFonts w:ascii="Palatino Linotype" w:hAnsi="Palatino Linotype" w:cs="Times New Roman"/>
                <w:b/>
                <w:lang w:val="en-ID"/>
              </w:rPr>
            </w:pPr>
            <w:r w:rsidRPr="004F05DC">
              <w:rPr>
                <w:rFonts w:ascii="Palatino Linotype" w:hAnsi="Palatino Linotype" w:cs="Times New Roman"/>
                <w:b/>
                <w:lang w:val="en-ID"/>
              </w:rPr>
              <w:t xml:space="preserve">Handgrip </w:t>
            </w:r>
          </w:p>
          <w:p w:rsidR="00AB7787" w:rsidRPr="004F05DC" w:rsidRDefault="00AB7787" w:rsidP="00AB7787">
            <w:pPr>
              <w:jc w:val="center"/>
              <w:rPr>
                <w:rFonts w:ascii="Palatino Linotype" w:hAnsi="Palatino Linotype" w:cs="Times New Roman"/>
                <w:b/>
                <w:lang w:val="en-ID"/>
              </w:rPr>
            </w:pPr>
            <w:r w:rsidRPr="004F05DC">
              <w:rPr>
                <w:rFonts w:ascii="Palatino Linotype" w:hAnsi="Palatino Linotype" w:cs="Times New Roman"/>
                <w:b/>
                <w:lang w:val="en-ID"/>
              </w:rPr>
              <w:t>strength</w:t>
            </w:r>
          </w:p>
        </w:tc>
        <w:tc>
          <w:tcPr>
            <w:tcW w:w="850" w:type="dxa"/>
            <w:vMerge w:val="restart"/>
          </w:tcPr>
          <w:p w:rsidR="00AB7787" w:rsidRPr="004F05DC" w:rsidRDefault="00AB7787" w:rsidP="00AB7787">
            <w:pPr>
              <w:jc w:val="center"/>
              <w:rPr>
                <w:rFonts w:ascii="Palatino Linotype" w:hAnsi="Palatino Linotype" w:cs="Times New Roman"/>
                <w:b/>
                <w:lang w:val="en-ID"/>
              </w:rPr>
            </w:pPr>
            <w:r w:rsidRPr="004F05DC">
              <w:rPr>
                <w:rFonts w:ascii="Palatino Linotype" w:hAnsi="Palatino Linotype" w:cs="Times New Roman"/>
                <w:b/>
                <w:lang w:val="en-ID"/>
              </w:rPr>
              <w:t>Total</w:t>
            </w:r>
          </w:p>
        </w:tc>
        <w:tc>
          <w:tcPr>
            <w:tcW w:w="992" w:type="dxa"/>
            <w:vMerge w:val="restart"/>
          </w:tcPr>
          <w:p w:rsidR="00AB7787" w:rsidRPr="004F05DC" w:rsidRDefault="00AB7787" w:rsidP="00AB7787">
            <w:pPr>
              <w:jc w:val="center"/>
              <w:rPr>
                <w:rFonts w:ascii="Palatino Linotype" w:hAnsi="Palatino Linotype" w:cs="Times New Roman"/>
                <w:b/>
                <w:lang w:val="en-ID"/>
              </w:rPr>
            </w:pPr>
            <w:r w:rsidRPr="004F05DC">
              <w:rPr>
                <w:rFonts w:ascii="Palatino Linotype" w:hAnsi="Palatino Linotype" w:cs="Times New Roman"/>
                <w:b/>
                <w:lang w:val="en-ID"/>
              </w:rPr>
              <w:t>OR</w:t>
            </w:r>
          </w:p>
        </w:tc>
        <w:tc>
          <w:tcPr>
            <w:tcW w:w="851" w:type="dxa"/>
            <w:vMerge w:val="restart"/>
          </w:tcPr>
          <w:p w:rsidR="00AB7787" w:rsidRPr="004F05DC" w:rsidRDefault="00AB7787" w:rsidP="00AB7787">
            <w:pPr>
              <w:jc w:val="center"/>
              <w:rPr>
                <w:rFonts w:ascii="Palatino Linotype" w:hAnsi="Palatino Linotype" w:cs="Times New Roman"/>
                <w:b/>
                <w:i/>
                <w:lang w:val="en-ID"/>
              </w:rPr>
            </w:pPr>
            <w:r w:rsidRPr="004F05DC">
              <w:rPr>
                <w:rFonts w:ascii="Palatino Linotype" w:hAnsi="Palatino Linotype" w:cs="Times New Roman"/>
                <w:b/>
                <w:i/>
                <w:lang w:val="en-ID"/>
              </w:rPr>
              <w:t>p-value</w:t>
            </w:r>
          </w:p>
        </w:tc>
      </w:tr>
      <w:tr w:rsidR="00AB7787" w:rsidRPr="004F05DC" w:rsidTr="00AB7787">
        <w:tc>
          <w:tcPr>
            <w:tcW w:w="1128" w:type="dxa"/>
            <w:vMerge/>
          </w:tcPr>
          <w:p w:rsidR="00AB7787" w:rsidRPr="004F05DC" w:rsidRDefault="00AB7787" w:rsidP="00AB7787">
            <w:pPr>
              <w:jc w:val="both"/>
              <w:rPr>
                <w:rFonts w:ascii="Palatino Linotype" w:hAnsi="Palatino Linotype" w:cs="Times New Roman"/>
                <w:lang w:val="en-ID"/>
              </w:rPr>
            </w:pPr>
          </w:p>
        </w:tc>
        <w:tc>
          <w:tcPr>
            <w:tcW w:w="850" w:type="dxa"/>
          </w:tcPr>
          <w:p w:rsidR="00AB7787" w:rsidRPr="004F05DC" w:rsidRDefault="00AB7787" w:rsidP="00AB7787">
            <w:pPr>
              <w:jc w:val="center"/>
              <w:rPr>
                <w:rFonts w:ascii="Palatino Linotype" w:hAnsi="Palatino Linotype" w:cs="Times New Roman"/>
                <w:b/>
                <w:lang w:val="en-ID"/>
              </w:rPr>
            </w:pPr>
            <w:r w:rsidRPr="004F05DC">
              <w:rPr>
                <w:rFonts w:ascii="Palatino Linotype" w:hAnsi="Palatino Linotype" w:cs="Times New Roman"/>
                <w:b/>
                <w:lang w:val="en-ID"/>
              </w:rPr>
              <w:t>Low</w:t>
            </w:r>
          </w:p>
        </w:tc>
        <w:tc>
          <w:tcPr>
            <w:tcW w:w="993" w:type="dxa"/>
          </w:tcPr>
          <w:p w:rsidR="00AB7787" w:rsidRPr="004F05DC" w:rsidRDefault="00AB7787" w:rsidP="00AB7787">
            <w:pPr>
              <w:jc w:val="center"/>
              <w:rPr>
                <w:rFonts w:ascii="Palatino Linotype" w:hAnsi="Palatino Linotype" w:cs="Times New Roman"/>
                <w:b/>
                <w:lang w:val="en-ID"/>
              </w:rPr>
            </w:pPr>
            <w:r w:rsidRPr="004F05DC">
              <w:rPr>
                <w:rFonts w:ascii="Palatino Linotype" w:hAnsi="Palatino Linotype" w:cs="Times New Roman"/>
                <w:b/>
                <w:lang w:val="en-ID"/>
              </w:rPr>
              <w:t>Normal</w:t>
            </w:r>
          </w:p>
        </w:tc>
        <w:tc>
          <w:tcPr>
            <w:tcW w:w="850" w:type="dxa"/>
            <w:vMerge/>
          </w:tcPr>
          <w:p w:rsidR="00AB7787" w:rsidRPr="004F05DC" w:rsidRDefault="00AB7787" w:rsidP="00AB7787">
            <w:pPr>
              <w:jc w:val="both"/>
              <w:rPr>
                <w:rFonts w:ascii="Palatino Linotype" w:hAnsi="Palatino Linotype" w:cs="Times New Roman"/>
                <w:lang w:val="en-ID"/>
              </w:rPr>
            </w:pPr>
          </w:p>
        </w:tc>
        <w:tc>
          <w:tcPr>
            <w:tcW w:w="992" w:type="dxa"/>
            <w:vMerge/>
          </w:tcPr>
          <w:p w:rsidR="00AB7787" w:rsidRPr="004F05DC" w:rsidRDefault="00AB7787" w:rsidP="00AB7787">
            <w:pPr>
              <w:jc w:val="both"/>
              <w:rPr>
                <w:rFonts w:ascii="Palatino Linotype" w:hAnsi="Palatino Linotype" w:cs="Times New Roman"/>
                <w:lang w:val="en-ID"/>
              </w:rPr>
            </w:pPr>
          </w:p>
        </w:tc>
        <w:tc>
          <w:tcPr>
            <w:tcW w:w="851" w:type="dxa"/>
            <w:vMerge/>
          </w:tcPr>
          <w:p w:rsidR="00AB7787" w:rsidRPr="004F05DC" w:rsidRDefault="00AB7787" w:rsidP="00AB7787">
            <w:pPr>
              <w:jc w:val="both"/>
              <w:rPr>
                <w:rFonts w:ascii="Palatino Linotype" w:hAnsi="Palatino Linotype" w:cs="Times New Roman"/>
                <w:lang w:val="en-ID"/>
              </w:rPr>
            </w:pPr>
          </w:p>
        </w:tc>
      </w:tr>
      <w:tr w:rsidR="00AB7787" w:rsidRPr="004F05DC" w:rsidTr="00AB7787">
        <w:tc>
          <w:tcPr>
            <w:tcW w:w="5664" w:type="dxa"/>
            <w:gridSpan w:val="6"/>
          </w:tcPr>
          <w:p w:rsidR="00AB7787" w:rsidRPr="004F05DC" w:rsidRDefault="00AB7787" w:rsidP="00AB7787">
            <w:pPr>
              <w:jc w:val="both"/>
              <w:rPr>
                <w:rFonts w:ascii="Palatino Linotype" w:hAnsi="Palatino Linotype" w:cs="Times New Roman"/>
                <w:lang w:val="en-ID"/>
              </w:rPr>
            </w:pPr>
            <w:r w:rsidRPr="004F05DC">
              <w:rPr>
                <w:rFonts w:ascii="Palatino Linotype" w:hAnsi="Palatino Linotype" w:cs="Times New Roman"/>
                <w:b/>
                <w:lang w:val="en-ID"/>
              </w:rPr>
              <w:t>Gender</w:t>
            </w:r>
          </w:p>
        </w:tc>
      </w:tr>
      <w:tr w:rsidR="00AB7787" w:rsidRPr="004F05DC" w:rsidTr="00AB7787">
        <w:tc>
          <w:tcPr>
            <w:tcW w:w="1128" w:type="dxa"/>
          </w:tcPr>
          <w:p w:rsidR="00AB7787" w:rsidRPr="004F05DC" w:rsidRDefault="00AB7787" w:rsidP="00AB7787">
            <w:pPr>
              <w:jc w:val="both"/>
              <w:rPr>
                <w:rFonts w:ascii="Palatino Linotype" w:hAnsi="Palatino Linotype" w:cs="Times New Roman"/>
                <w:lang w:val="en-ID"/>
              </w:rPr>
            </w:pPr>
            <w:r w:rsidRPr="004F05DC">
              <w:rPr>
                <w:rFonts w:ascii="Palatino Linotype" w:hAnsi="Palatino Linotype" w:cs="Times New Roman"/>
                <w:lang w:val="en-ID"/>
              </w:rPr>
              <w:t>Female</w:t>
            </w:r>
          </w:p>
        </w:tc>
        <w:tc>
          <w:tcPr>
            <w:tcW w:w="850"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51</w:t>
            </w:r>
          </w:p>
        </w:tc>
        <w:tc>
          <w:tcPr>
            <w:tcW w:w="993"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17</w:t>
            </w:r>
          </w:p>
        </w:tc>
        <w:tc>
          <w:tcPr>
            <w:tcW w:w="850"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68</w:t>
            </w:r>
          </w:p>
        </w:tc>
        <w:tc>
          <w:tcPr>
            <w:tcW w:w="992" w:type="dxa"/>
            <w:vMerge w:val="restart"/>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6,27</w:t>
            </w:r>
          </w:p>
          <w:p w:rsidR="00AB7787" w:rsidRPr="004F05DC" w:rsidRDefault="00AB7787" w:rsidP="00AB7787">
            <w:pPr>
              <w:jc w:val="both"/>
              <w:rPr>
                <w:rFonts w:ascii="Palatino Linotype" w:hAnsi="Palatino Linotype" w:cs="Times New Roman"/>
                <w:lang w:val="en-ID"/>
              </w:rPr>
            </w:pPr>
            <w:r>
              <w:rPr>
                <w:rFonts w:ascii="Palatino Linotype" w:hAnsi="Palatino Linotype" w:cs="Times New Roman"/>
                <w:lang w:val="en-ID"/>
              </w:rPr>
              <w:t xml:space="preserve">(CI 95% </w:t>
            </w:r>
            <w:r w:rsidRPr="004F05DC">
              <w:rPr>
                <w:rFonts w:ascii="Palatino Linotype" w:hAnsi="Palatino Linotype" w:cs="Times New Roman"/>
                <w:lang w:val="en-ID"/>
              </w:rPr>
              <w:t>15,493 – 2,540)</w:t>
            </w:r>
          </w:p>
        </w:tc>
        <w:tc>
          <w:tcPr>
            <w:tcW w:w="851" w:type="dxa"/>
            <w:vMerge w:val="restart"/>
          </w:tcPr>
          <w:p w:rsidR="00AB7787" w:rsidRPr="004F05DC" w:rsidRDefault="00AB7787" w:rsidP="00AB7787">
            <w:pPr>
              <w:jc w:val="center"/>
              <w:rPr>
                <w:rFonts w:ascii="Palatino Linotype" w:hAnsi="Palatino Linotype" w:cs="Times New Roman"/>
                <w:lang w:val="en-ID"/>
              </w:rPr>
            </w:pPr>
          </w:p>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0,000</w:t>
            </w:r>
          </w:p>
        </w:tc>
      </w:tr>
      <w:tr w:rsidR="00AB7787" w:rsidRPr="004F05DC" w:rsidTr="00AB7787">
        <w:tc>
          <w:tcPr>
            <w:tcW w:w="1128" w:type="dxa"/>
          </w:tcPr>
          <w:p w:rsidR="00AB7787" w:rsidRPr="004F05DC" w:rsidRDefault="00AB7787" w:rsidP="00AB7787">
            <w:pPr>
              <w:jc w:val="both"/>
              <w:rPr>
                <w:rFonts w:ascii="Palatino Linotype" w:hAnsi="Palatino Linotype" w:cs="Times New Roman"/>
                <w:lang w:val="en-ID"/>
              </w:rPr>
            </w:pPr>
            <w:r w:rsidRPr="004F05DC">
              <w:rPr>
                <w:rFonts w:ascii="Palatino Linotype" w:hAnsi="Palatino Linotype" w:cs="Times New Roman"/>
                <w:lang w:val="en-ID"/>
              </w:rPr>
              <w:t>Male</w:t>
            </w:r>
          </w:p>
        </w:tc>
        <w:tc>
          <w:tcPr>
            <w:tcW w:w="850"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11</w:t>
            </w:r>
          </w:p>
        </w:tc>
        <w:tc>
          <w:tcPr>
            <w:tcW w:w="993"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23</w:t>
            </w:r>
          </w:p>
        </w:tc>
        <w:tc>
          <w:tcPr>
            <w:tcW w:w="850"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34</w:t>
            </w:r>
          </w:p>
        </w:tc>
        <w:tc>
          <w:tcPr>
            <w:tcW w:w="992" w:type="dxa"/>
            <w:vMerge/>
          </w:tcPr>
          <w:p w:rsidR="00AB7787" w:rsidRPr="004F05DC" w:rsidRDefault="00AB7787" w:rsidP="00AB7787">
            <w:pPr>
              <w:jc w:val="both"/>
              <w:rPr>
                <w:rFonts w:ascii="Palatino Linotype" w:hAnsi="Palatino Linotype" w:cs="Times New Roman"/>
                <w:lang w:val="en-ID"/>
              </w:rPr>
            </w:pPr>
          </w:p>
        </w:tc>
        <w:tc>
          <w:tcPr>
            <w:tcW w:w="851" w:type="dxa"/>
            <w:vMerge/>
          </w:tcPr>
          <w:p w:rsidR="00AB7787" w:rsidRPr="004F05DC" w:rsidRDefault="00AB7787" w:rsidP="00AB7787">
            <w:pPr>
              <w:jc w:val="both"/>
              <w:rPr>
                <w:rFonts w:ascii="Palatino Linotype" w:hAnsi="Palatino Linotype" w:cs="Times New Roman"/>
                <w:lang w:val="en-ID"/>
              </w:rPr>
            </w:pPr>
          </w:p>
        </w:tc>
      </w:tr>
      <w:tr w:rsidR="00AB7787" w:rsidRPr="004F05DC" w:rsidTr="00AB7787">
        <w:tc>
          <w:tcPr>
            <w:tcW w:w="1128" w:type="dxa"/>
          </w:tcPr>
          <w:p w:rsidR="00AB7787" w:rsidRPr="004F05DC" w:rsidRDefault="00AB7787" w:rsidP="00AB7787">
            <w:pPr>
              <w:jc w:val="both"/>
              <w:rPr>
                <w:rFonts w:ascii="Palatino Linotype" w:hAnsi="Palatino Linotype" w:cs="Times New Roman"/>
                <w:lang w:val="en-ID"/>
              </w:rPr>
            </w:pPr>
            <w:r w:rsidRPr="004F05DC">
              <w:rPr>
                <w:rFonts w:ascii="Palatino Linotype" w:hAnsi="Palatino Linotype" w:cs="Times New Roman"/>
                <w:lang w:val="en-ID"/>
              </w:rPr>
              <w:t>Total</w:t>
            </w:r>
          </w:p>
        </w:tc>
        <w:tc>
          <w:tcPr>
            <w:tcW w:w="850"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62</w:t>
            </w:r>
          </w:p>
        </w:tc>
        <w:tc>
          <w:tcPr>
            <w:tcW w:w="993"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42</w:t>
            </w:r>
          </w:p>
        </w:tc>
        <w:tc>
          <w:tcPr>
            <w:tcW w:w="850"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102</w:t>
            </w:r>
          </w:p>
        </w:tc>
        <w:tc>
          <w:tcPr>
            <w:tcW w:w="992" w:type="dxa"/>
            <w:vMerge/>
          </w:tcPr>
          <w:p w:rsidR="00AB7787" w:rsidRPr="004F05DC" w:rsidRDefault="00AB7787" w:rsidP="00AB7787">
            <w:pPr>
              <w:jc w:val="both"/>
              <w:rPr>
                <w:rFonts w:ascii="Palatino Linotype" w:hAnsi="Palatino Linotype" w:cs="Times New Roman"/>
                <w:lang w:val="en-ID"/>
              </w:rPr>
            </w:pPr>
          </w:p>
        </w:tc>
        <w:tc>
          <w:tcPr>
            <w:tcW w:w="851" w:type="dxa"/>
            <w:vMerge/>
          </w:tcPr>
          <w:p w:rsidR="00AB7787" w:rsidRPr="004F05DC" w:rsidRDefault="00AB7787" w:rsidP="00AB7787">
            <w:pPr>
              <w:jc w:val="both"/>
              <w:rPr>
                <w:rFonts w:ascii="Palatino Linotype" w:hAnsi="Palatino Linotype" w:cs="Times New Roman"/>
                <w:lang w:val="en-ID"/>
              </w:rPr>
            </w:pPr>
          </w:p>
        </w:tc>
      </w:tr>
      <w:tr w:rsidR="00AB7787" w:rsidRPr="004F05DC" w:rsidTr="00AB7787">
        <w:tc>
          <w:tcPr>
            <w:tcW w:w="5664" w:type="dxa"/>
            <w:gridSpan w:val="6"/>
          </w:tcPr>
          <w:p w:rsidR="00AB7787" w:rsidRPr="004F05DC" w:rsidRDefault="00AB7787" w:rsidP="00AB7787">
            <w:pPr>
              <w:jc w:val="both"/>
              <w:rPr>
                <w:rFonts w:ascii="Palatino Linotype" w:hAnsi="Palatino Linotype" w:cs="Times New Roman"/>
                <w:lang w:val="en-ID"/>
              </w:rPr>
            </w:pPr>
            <w:r w:rsidRPr="004F05DC">
              <w:rPr>
                <w:rFonts w:ascii="Palatino Linotype" w:hAnsi="Palatino Linotype" w:cs="Times New Roman"/>
                <w:b/>
                <w:lang w:val="en-ID"/>
              </w:rPr>
              <w:t>Employed status</w:t>
            </w:r>
          </w:p>
        </w:tc>
      </w:tr>
      <w:tr w:rsidR="00AB7787" w:rsidRPr="004F05DC" w:rsidTr="00AB7787">
        <w:tc>
          <w:tcPr>
            <w:tcW w:w="1128" w:type="dxa"/>
          </w:tcPr>
          <w:p w:rsidR="00AB7787" w:rsidRPr="004F05DC" w:rsidRDefault="00AB7787" w:rsidP="00AB7787">
            <w:pPr>
              <w:jc w:val="both"/>
              <w:rPr>
                <w:rFonts w:ascii="Palatino Linotype" w:hAnsi="Palatino Linotype" w:cs="Times New Roman"/>
                <w:lang w:val="en-ID"/>
              </w:rPr>
            </w:pPr>
            <w:r w:rsidRPr="004F05DC">
              <w:rPr>
                <w:rFonts w:ascii="Palatino Linotype" w:hAnsi="Palatino Linotype" w:cs="Times New Roman"/>
                <w:lang w:val="en-ID"/>
              </w:rPr>
              <w:t>Unemployed</w:t>
            </w:r>
          </w:p>
        </w:tc>
        <w:tc>
          <w:tcPr>
            <w:tcW w:w="850"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50</w:t>
            </w:r>
          </w:p>
        </w:tc>
        <w:tc>
          <w:tcPr>
            <w:tcW w:w="993"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22</w:t>
            </w:r>
          </w:p>
        </w:tc>
        <w:tc>
          <w:tcPr>
            <w:tcW w:w="850"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72</w:t>
            </w:r>
          </w:p>
        </w:tc>
        <w:tc>
          <w:tcPr>
            <w:tcW w:w="992" w:type="dxa"/>
            <w:vMerge w:val="restart"/>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3,4</w:t>
            </w:r>
          </w:p>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 xml:space="preserve"> (CI 95% ; 8,268-1,406(</w:t>
            </w:r>
          </w:p>
        </w:tc>
        <w:tc>
          <w:tcPr>
            <w:tcW w:w="851" w:type="dxa"/>
            <w:vMerge w:val="restart"/>
          </w:tcPr>
          <w:p w:rsidR="00AB7787" w:rsidRPr="004F05DC" w:rsidRDefault="00AB7787" w:rsidP="00AB7787">
            <w:pPr>
              <w:jc w:val="both"/>
              <w:rPr>
                <w:rFonts w:ascii="Palatino Linotype" w:hAnsi="Palatino Linotype" w:cs="Times New Roman"/>
                <w:lang w:val="en-ID"/>
              </w:rPr>
            </w:pPr>
          </w:p>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0,008</w:t>
            </w:r>
          </w:p>
        </w:tc>
      </w:tr>
      <w:tr w:rsidR="00AB7787" w:rsidRPr="004F05DC" w:rsidTr="00AB7787">
        <w:tc>
          <w:tcPr>
            <w:tcW w:w="1128" w:type="dxa"/>
          </w:tcPr>
          <w:p w:rsidR="00AB7787" w:rsidRPr="004F05DC" w:rsidRDefault="00AB7787" w:rsidP="00AB7787">
            <w:pPr>
              <w:jc w:val="both"/>
              <w:rPr>
                <w:rFonts w:ascii="Palatino Linotype" w:hAnsi="Palatino Linotype" w:cs="Times New Roman"/>
                <w:lang w:val="en-ID"/>
              </w:rPr>
            </w:pPr>
            <w:r w:rsidRPr="004F05DC">
              <w:rPr>
                <w:rFonts w:ascii="Palatino Linotype" w:hAnsi="Palatino Linotype" w:cs="Times New Roman"/>
                <w:lang w:val="en-ID"/>
              </w:rPr>
              <w:t>Employed</w:t>
            </w:r>
          </w:p>
        </w:tc>
        <w:tc>
          <w:tcPr>
            <w:tcW w:w="850"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12</w:t>
            </w:r>
          </w:p>
        </w:tc>
        <w:tc>
          <w:tcPr>
            <w:tcW w:w="993"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18</w:t>
            </w:r>
          </w:p>
        </w:tc>
        <w:tc>
          <w:tcPr>
            <w:tcW w:w="850"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30</w:t>
            </w:r>
          </w:p>
        </w:tc>
        <w:tc>
          <w:tcPr>
            <w:tcW w:w="992" w:type="dxa"/>
            <w:vMerge/>
          </w:tcPr>
          <w:p w:rsidR="00AB7787" w:rsidRPr="004F05DC" w:rsidRDefault="00AB7787" w:rsidP="00AB7787">
            <w:pPr>
              <w:jc w:val="center"/>
              <w:rPr>
                <w:rFonts w:ascii="Palatino Linotype" w:hAnsi="Palatino Linotype" w:cs="Times New Roman"/>
                <w:lang w:val="en-ID"/>
              </w:rPr>
            </w:pPr>
          </w:p>
        </w:tc>
        <w:tc>
          <w:tcPr>
            <w:tcW w:w="851" w:type="dxa"/>
            <w:vMerge/>
          </w:tcPr>
          <w:p w:rsidR="00AB7787" w:rsidRPr="004F05DC" w:rsidRDefault="00AB7787" w:rsidP="00AB7787">
            <w:pPr>
              <w:jc w:val="both"/>
              <w:rPr>
                <w:rFonts w:ascii="Palatino Linotype" w:hAnsi="Palatino Linotype" w:cs="Times New Roman"/>
                <w:lang w:val="en-ID"/>
              </w:rPr>
            </w:pPr>
          </w:p>
        </w:tc>
      </w:tr>
      <w:tr w:rsidR="00AB7787" w:rsidRPr="004F05DC" w:rsidTr="00AB7787">
        <w:tc>
          <w:tcPr>
            <w:tcW w:w="1128" w:type="dxa"/>
          </w:tcPr>
          <w:p w:rsidR="00AB7787" w:rsidRPr="004F05DC" w:rsidRDefault="00AB7787" w:rsidP="00AB7787">
            <w:pPr>
              <w:jc w:val="both"/>
              <w:rPr>
                <w:rFonts w:ascii="Palatino Linotype" w:hAnsi="Palatino Linotype" w:cs="Times New Roman"/>
                <w:lang w:val="en-ID"/>
              </w:rPr>
            </w:pPr>
            <w:r w:rsidRPr="004F05DC">
              <w:rPr>
                <w:rFonts w:ascii="Palatino Linotype" w:hAnsi="Palatino Linotype" w:cs="Times New Roman"/>
                <w:lang w:val="en-ID"/>
              </w:rPr>
              <w:t>Total</w:t>
            </w:r>
          </w:p>
        </w:tc>
        <w:tc>
          <w:tcPr>
            <w:tcW w:w="850"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62</w:t>
            </w:r>
          </w:p>
        </w:tc>
        <w:tc>
          <w:tcPr>
            <w:tcW w:w="993"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40</w:t>
            </w:r>
          </w:p>
        </w:tc>
        <w:tc>
          <w:tcPr>
            <w:tcW w:w="850"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102</w:t>
            </w:r>
          </w:p>
        </w:tc>
        <w:tc>
          <w:tcPr>
            <w:tcW w:w="992" w:type="dxa"/>
            <w:vMerge/>
          </w:tcPr>
          <w:p w:rsidR="00AB7787" w:rsidRPr="004F05DC" w:rsidRDefault="00AB7787" w:rsidP="00AB7787">
            <w:pPr>
              <w:jc w:val="center"/>
              <w:rPr>
                <w:rFonts w:ascii="Palatino Linotype" w:hAnsi="Palatino Linotype" w:cs="Times New Roman"/>
                <w:lang w:val="en-ID"/>
              </w:rPr>
            </w:pPr>
          </w:p>
        </w:tc>
        <w:tc>
          <w:tcPr>
            <w:tcW w:w="851" w:type="dxa"/>
            <w:vMerge/>
          </w:tcPr>
          <w:p w:rsidR="00AB7787" w:rsidRPr="004F05DC" w:rsidRDefault="00AB7787" w:rsidP="00AB7787">
            <w:pPr>
              <w:jc w:val="both"/>
              <w:rPr>
                <w:rFonts w:ascii="Palatino Linotype" w:hAnsi="Palatino Linotype" w:cs="Times New Roman"/>
                <w:lang w:val="en-ID"/>
              </w:rPr>
            </w:pPr>
          </w:p>
        </w:tc>
      </w:tr>
      <w:tr w:rsidR="00AB7787" w:rsidRPr="004F05DC" w:rsidTr="00AB7787">
        <w:tc>
          <w:tcPr>
            <w:tcW w:w="5664" w:type="dxa"/>
            <w:gridSpan w:val="6"/>
          </w:tcPr>
          <w:p w:rsidR="00AB7787" w:rsidRPr="004F05DC" w:rsidRDefault="00AB7787" w:rsidP="00AB7787">
            <w:pPr>
              <w:jc w:val="both"/>
              <w:rPr>
                <w:rFonts w:ascii="Palatino Linotype" w:hAnsi="Palatino Linotype" w:cs="Times New Roman"/>
                <w:lang w:val="en-ID"/>
              </w:rPr>
            </w:pPr>
            <w:r w:rsidRPr="004F05DC">
              <w:rPr>
                <w:rFonts w:ascii="Palatino Linotype" w:hAnsi="Palatino Linotype" w:cs="Times New Roman"/>
                <w:b/>
                <w:lang w:val="en-ID"/>
              </w:rPr>
              <w:t>Metabolic syndrome</w:t>
            </w:r>
          </w:p>
        </w:tc>
      </w:tr>
      <w:tr w:rsidR="00AB7787" w:rsidRPr="004F05DC" w:rsidTr="00AB7787">
        <w:tc>
          <w:tcPr>
            <w:tcW w:w="1128" w:type="dxa"/>
          </w:tcPr>
          <w:p w:rsidR="00AB7787" w:rsidRPr="004F05DC" w:rsidRDefault="00AB7787" w:rsidP="00AB7787">
            <w:pPr>
              <w:jc w:val="both"/>
              <w:rPr>
                <w:rFonts w:ascii="Palatino Linotype" w:hAnsi="Palatino Linotype" w:cs="Times New Roman"/>
                <w:lang w:val="en-ID"/>
              </w:rPr>
            </w:pPr>
            <w:r w:rsidRPr="004F05DC">
              <w:rPr>
                <w:rFonts w:ascii="Palatino Linotype" w:hAnsi="Palatino Linotype" w:cs="Times New Roman"/>
                <w:lang w:val="en-ID"/>
              </w:rPr>
              <w:t>No</w:t>
            </w:r>
          </w:p>
        </w:tc>
        <w:tc>
          <w:tcPr>
            <w:tcW w:w="850"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45</w:t>
            </w:r>
          </w:p>
        </w:tc>
        <w:tc>
          <w:tcPr>
            <w:tcW w:w="993"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36</w:t>
            </w:r>
          </w:p>
        </w:tc>
        <w:tc>
          <w:tcPr>
            <w:tcW w:w="850"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81</w:t>
            </w:r>
          </w:p>
        </w:tc>
        <w:tc>
          <w:tcPr>
            <w:tcW w:w="992" w:type="dxa"/>
            <w:vMerge w:val="restart"/>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0,29</w:t>
            </w:r>
          </w:p>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 xml:space="preserve"> (CI 9)5% 0,95-0,91</w:t>
            </w:r>
          </w:p>
        </w:tc>
        <w:tc>
          <w:tcPr>
            <w:tcW w:w="851" w:type="dxa"/>
            <w:vMerge w:val="restart"/>
          </w:tcPr>
          <w:p w:rsidR="00AB7787" w:rsidRPr="004F05DC" w:rsidRDefault="00AB7787" w:rsidP="00AB7787">
            <w:pPr>
              <w:jc w:val="center"/>
              <w:rPr>
                <w:rFonts w:ascii="Palatino Linotype" w:hAnsi="Palatino Linotype" w:cs="Times New Roman"/>
                <w:lang w:val="en-ID"/>
              </w:rPr>
            </w:pPr>
          </w:p>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0,045</w:t>
            </w:r>
          </w:p>
        </w:tc>
      </w:tr>
      <w:tr w:rsidR="00AB7787" w:rsidRPr="004F05DC" w:rsidTr="00AB7787">
        <w:tc>
          <w:tcPr>
            <w:tcW w:w="1128" w:type="dxa"/>
          </w:tcPr>
          <w:p w:rsidR="00AB7787" w:rsidRPr="004F05DC" w:rsidRDefault="00AB7787" w:rsidP="00AB7787">
            <w:pPr>
              <w:jc w:val="both"/>
              <w:rPr>
                <w:rFonts w:ascii="Palatino Linotype" w:hAnsi="Palatino Linotype" w:cs="Times New Roman"/>
                <w:lang w:val="en-ID"/>
              </w:rPr>
            </w:pPr>
            <w:r w:rsidRPr="004F05DC">
              <w:rPr>
                <w:rFonts w:ascii="Palatino Linotype" w:hAnsi="Palatino Linotype" w:cs="Times New Roman"/>
                <w:lang w:val="en-ID"/>
              </w:rPr>
              <w:t>Yes</w:t>
            </w:r>
          </w:p>
        </w:tc>
        <w:tc>
          <w:tcPr>
            <w:tcW w:w="850"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17</w:t>
            </w:r>
          </w:p>
        </w:tc>
        <w:tc>
          <w:tcPr>
            <w:tcW w:w="993"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4</w:t>
            </w:r>
          </w:p>
        </w:tc>
        <w:tc>
          <w:tcPr>
            <w:tcW w:w="850"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21</w:t>
            </w:r>
          </w:p>
        </w:tc>
        <w:tc>
          <w:tcPr>
            <w:tcW w:w="992" w:type="dxa"/>
            <w:vMerge/>
          </w:tcPr>
          <w:p w:rsidR="00AB7787" w:rsidRPr="004F05DC" w:rsidRDefault="00AB7787" w:rsidP="00AB7787">
            <w:pPr>
              <w:jc w:val="center"/>
              <w:rPr>
                <w:rFonts w:ascii="Palatino Linotype" w:hAnsi="Palatino Linotype" w:cs="Times New Roman"/>
                <w:lang w:val="en-ID"/>
              </w:rPr>
            </w:pPr>
          </w:p>
        </w:tc>
        <w:tc>
          <w:tcPr>
            <w:tcW w:w="851" w:type="dxa"/>
            <w:vMerge/>
          </w:tcPr>
          <w:p w:rsidR="00AB7787" w:rsidRPr="004F05DC" w:rsidRDefault="00AB7787" w:rsidP="00AB7787">
            <w:pPr>
              <w:jc w:val="center"/>
              <w:rPr>
                <w:rFonts w:ascii="Palatino Linotype" w:hAnsi="Palatino Linotype" w:cs="Times New Roman"/>
                <w:lang w:val="en-ID"/>
              </w:rPr>
            </w:pPr>
          </w:p>
        </w:tc>
      </w:tr>
      <w:tr w:rsidR="00AB7787" w:rsidRPr="004F05DC" w:rsidTr="00AB7787">
        <w:tc>
          <w:tcPr>
            <w:tcW w:w="1128" w:type="dxa"/>
          </w:tcPr>
          <w:p w:rsidR="00AB7787" w:rsidRPr="004F05DC" w:rsidRDefault="00AB7787" w:rsidP="00AB7787">
            <w:pPr>
              <w:jc w:val="both"/>
              <w:rPr>
                <w:rFonts w:ascii="Palatino Linotype" w:hAnsi="Palatino Linotype" w:cs="Times New Roman"/>
                <w:lang w:val="en-ID"/>
              </w:rPr>
            </w:pPr>
            <w:r w:rsidRPr="004F05DC">
              <w:rPr>
                <w:rFonts w:ascii="Palatino Linotype" w:hAnsi="Palatino Linotype" w:cs="Times New Roman"/>
                <w:lang w:val="en-ID"/>
              </w:rPr>
              <w:t>Total</w:t>
            </w:r>
          </w:p>
        </w:tc>
        <w:tc>
          <w:tcPr>
            <w:tcW w:w="850"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62</w:t>
            </w:r>
          </w:p>
        </w:tc>
        <w:tc>
          <w:tcPr>
            <w:tcW w:w="993"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40</w:t>
            </w:r>
          </w:p>
        </w:tc>
        <w:tc>
          <w:tcPr>
            <w:tcW w:w="850" w:type="dxa"/>
          </w:tcPr>
          <w:p w:rsidR="00AB7787" w:rsidRPr="004F05DC" w:rsidRDefault="00AB7787" w:rsidP="00AB7787">
            <w:pPr>
              <w:jc w:val="center"/>
              <w:rPr>
                <w:rFonts w:ascii="Palatino Linotype" w:hAnsi="Palatino Linotype" w:cs="Times New Roman"/>
                <w:lang w:val="en-ID"/>
              </w:rPr>
            </w:pPr>
            <w:r w:rsidRPr="004F05DC">
              <w:rPr>
                <w:rFonts w:ascii="Palatino Linotype" w:hAnsi="Palatino Linotype" w:cs="Times New Roman"/>
                <w:lang w:val="en-ID"/>
              </w:rPr>
              <w:t>102</w:t>
            </w:r>
          </w:p>
        </w:tc>
        <w:tc>
          <w:tcPr>
            <w:tcW w:w="992" w:type="dxa"/>
            <w:vMerge/>
          </w:tcPr>
          <w:p w:rsidR="00AB7787" w:rsidRPr="004F05DC" w:rsidRDefault="00AB7787" w:rsidP="00AB7787">
            <w:pPr>
              <w:jc w:val="center"/>
              <w:rPr>
                <w:rFonts w:ascii="Palatino Linotype" w:hAnsi="Palatino Linotype" w:cs="Times New Roman"/>
                <w:lang w:val="en-ID"/>
              </w:rPr>
            </w:pPr>
          </w:p>
        </w:tc>
        <w:tc>
          <w:tcPr>
            <w:tcW w:w="851" w:type="dxa"/>
            <w:vMerge/>
          </w:tcPr>
          <w:p w:rsidR="00AB7787" w:rsidRPr="004F05DC" w:rsidRDefault="00AB7787" w:rsidP="00AB7787">
            <w:pPr>
              <w:jc w:val="center"/>
              <w:rPr>
                <w:rFonts w:ascii="Palatino Linotype" w:hAnsi="Palatino Linotype" w:cs="Times New Roman"/>
                <w:lang w:val="en-ID"/>
              </w:rPr>
            </w:pPr>
          </w:p>
        </w:tc>
      </w:tr>
    </w:tbl>
    <w:p w:rsidR="00C4598C" w:rsidRPr="00C4598C" w:rsidRDefault="00C4598C" w:rsidP="00AB7787">
      <w:pPr>
        <w:spacing w:line="240" w:lineRule="auto"/>
        <w:ind w:firstLine="454"/>
        <w:jc w:val="both"/>
        <w:rPr>
          <w:rFonts w:ascii="Palatino Linotype" w:hAnsi="Palatino Linotype" w:cs="Times New Roman"/>
          <w:lang w:val="en-ID"/>
        </w:rPr>
      </w:pPr>
      <w:r w:rsidRPr="00C4598C">
        <w:rPr>
          <w:rFonts w:ascii="Palatino Linotype" w:hAnsi="Palatino Linotype" w:cs="Times New Roman"/>
          <w:lang w:val="en-ID"/>
        </w:rPr>
        <w:t xml:space="preserve">Based on measure of bivariate analysis  can be seen table 2 showed that there was difference between female and male toward handgrip strength ( </w:t>
      </w:r>
      <w:r w:rsidRPr="00C4598C">
        <w:rPr>
          <w:rFonts w:ascii="Palatino Linotype" w:hAnsi="Palatino Linotype" w:cs="Times New Roman"/>
          <w:i/>
          <w:lang w:val="en-ID"/>
        </w:rPr>
        <w:t>p</w:t>
      </w:r>
      <w:r w:rsidRPr="00C4598C">
        <w:rPr>
          <w:rFonts w:ascii="Palatino Linotype" w:hAnsi="Palatino Linotype" w:cs="Times New Roman"/>
          <w:lang w:val="en-ID"/>
        </w:rPr>
        <w:t xml:space="preserve"> value 0,000). The older adults with female have 6,27 times of chance to be low of handgrip strength in the future ( OR=6,27 CI 95% ; 15,493 – 2,540). There was difference unemployed and employed toward handgrip strength ( p value 0,0008). The older adults with unemployed have  3,4 times of chance to be low of handgrip strength in the future ( OR=3,4 CI 95% ; 8,268-1,406). There was difference between older adult with metabolic syndrome and without metablic syndrome toward handgrip strength ( p value 0,045). The older adults with metabolic syndrome have 0,29 times of chance to be low handgrip strength in the future ( OR=0,29 CI 95% 0,95-0,91).</w:t>
      </w:r>
    </w:p>
    <w:p w:rsidR="00C4598C" w:rsidRPr="00AB7787" w:rsidRDefault="00AB7787" w:rsidP="00C4598C">
      <w:pPr>
        <w:pStyle w:val="Heading1"/>
        <w:numPr>
          <w:ilvl w:val="0"/>
          <w:numId w:val="0"/>
        </w:numPr>
        <w:spacing w:after="120"/>
        <w:ind w:left="454" w:hanging="454"/>
        <w:rPr>
          <w:rFonts w:ascii="Palatino Linotype" w:hAnsi="Palatino Linotype" w:cs="Times New Roman"/>
          <w:sz w:val="22"/>
          <w:szCs w:val="22"/>
          <w:lang w:val="en-GB"/>
        </w:rPr>
      </w:pPr>
      <w:r>
        <w:rPr>
          <w:rFonts w:ascii="Palatino Linotype" w:hAnsi="Palatino Linotype" w:cs="Times New Roman"/>
          <w:sz w:val="22"/>
          <w:szCs w:val="22"/>
          <w:lang w:val="en-GB"/>
        </w:rPr>
        <w:t>dISCUSSION</w:t>
      </w:r>
      <w:bookmarkStart w:id="0" w:name="_GoBack"/>
      <w:bookmarkEnd w:id="0"/>
    </w:p>
    <w:p w:rsidR="00C4598C" w:rsidRPr="00C4598C" w:rsidRDefault="00C4598C" w:rsidP="00AB7787">
      <w:pPr>
        <w:spacing w:line="240" w:lineRule="auto"/>
        <w:ind w:firstLine="454"/>
        <w:jc w:val="both"/>
        <w:rPr>
          <w:rFonts w:ascii="Palatino Linotype" w:hAnsi="Palatino Linotype" w:cs="Times New Roman"/>
          <w:b/>
          <w:lang w:val="en-ID"/>
        </w:rPr>
      </w:pPr>
      <w:r w:rsidRPr="00C4598C">
        <w:rPr>
          <w:rFonts w:ascii="Palatino Linotype" w:hAnsi="Palatino Linotype" w:cs="Times New Roman"/>
          <w:lang w:val="en-ID"/>
        </w:rPr>
        <w:t xml:space="preserve">The result further showed that older adults with low handgrip strength was 60,8 %. Older adults  were muscle disorder. Based on studies previous that low handgrip Strength was positively associated with age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{"citationItems":[{"id":"ITEM-1","itemData":{"DOI":"10.1590/1678-98652018000400004","ISBN":"0000000272","ISSN":"14155273","abstract":"Objective To investigate the association between sociodemographic factors, lifestyle, health conditions and low Handgrip Strength in older adults. Methods A cross-sectional study was conducted in a sample of 598 older adults. The Handgrip Strength (first quartile) was verified using a dynamometer. Independent variables included age group, schooling, living arrangement, paid work, alcohol consumption, smoking, leisure-time physical activity and transportation, disability in activities of daily living and instrumental activities of daily living, history of falls and probable cognitive impairment. Logistic regression analyses were performed (crude and adjusted). Results Age group, disability in instrumental activities of daily living and physical inactivity were associated with low Handgrip Strength for women. For men, there was no association. Conclusion Low Handgrip Strength was positively associated with age, disability in instrumental activities of daily living, and negatively associated with the practice of physical activity in women.","author":[{"dropping-particle":"","family":"Confortin","given":"Susana Cararo","non-dropping-particle":"","parse-names":false,"suffix":""},{"dropping-particle":"","family":"Ono","given":"Lariane Mortean","non-dropping-particle":"","parse-names":false,"suffix":""},{"dropping-particle":"","family":"Meneghini","given":"Vandrize","non-dropping-particle":"","parse-names":false,"suffix":""},{"dropping-particle":"","family":"Pastorio","given":"Anapaula","non-dropping-particle":"","parse-names":false,"suffix":""},{"dropping-particle":"","family":"Barbosa","given":"Aline Rodrigues","non-dropping-particle":"","parse-names":false,"suffix":""},{"dropping-particle":"","family":"D'Orsi","given":"Eleonora","non-dropping-particle":"","parse-names":false,"suffix":""}],"container-title":"Revista de Nutricao","id":"ITEM-1","issue":"4","issued":{"date-parts":[["2018"]]},"page":"385-395","title":"Factors associated with handgrip strength in older adults residents in Florianópolis, Brazil: EpiFloripa Aging Study","type":"article-journal","volume":"31"},"uris":["http://www.mendeley.com/documents/?uuid=b22d6fc1-44d8-43ff-96fd-e6b9520f1ca6"]}],"mendeley":{"formattedCitation":"(Confortin et al., 2018)","plainTextFormattedCitation":"(Confortin et al., 2018)","previouslyFormattedCitation":"(Confortin et al., 2018)"},"properties":{"noteIndex":0},"schema":"https://github.com/citation-style-language/schema/raw/master/csl-citation.json"}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(Confortin et al., 2018)</w:t>
      </w:r>
      <w:r w:rsidRPr="00C4598C">
        <w:rPr>
          <w:rFonts w:ascii="Palatino Linotype" w:hAnsi="Palatino Linotype" w:cs="Times New Roman"/>
          <w:lang w:val="en-ID"/>
        </w:rPr>
        <w:fldChar w:fldCharType="end"/>
      </w:r>
      <w:r w:rsidRPr="00C4598C">
        <w:rPr>
          <w:rFonts w:ascii="Palatino Linotype" w:hAnsi="Palatino Linotype" w:cs="Times New Roman"/>
          <w:lang w:val="en-ID"/>
        </w:rPr>
        <w:t>,</w:t>
      </w:r>
      <w:r w:rsidRPr="00C4598C">
        <w:rPr>
          <w:rFonts w:ascii="Palatino Linotype" w:hAnsi="Palatino Linotype"/>
        </w:rPr>
        <w:t xml:space="preserve"> </w:t>
      </w:r>
      <w:r w:rsidRPr="00C4598C">
        <w:rPr>
          <w:rFonts w:ascii="Palatino Linotype" w:hAnsi="Palatino Linotype" w:cs="Times New Roman"/>
          <w:lang w:val="en-ID"/>
        </w:rPr>
        <w:t xml:space="preserve">Reductions in muscle strength may lead to mobility limitations in older age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{"citationItems":[{"id":"ITEM-1","itemData":{"DOI":"10.1007/s40520-019-01155-0","ISSN":"17208319","PMID":"30830597","abstract":"Background: Reductions in muscle strength and poor balance may lead to mobility limitations in older age. Aims: We assessed the effects of long-term once-weekly strength and balance training (SBT) on muscle strength and physical functioning in a community-based sample of older adults. Methods: 182 individuals [130 women and 52 men, mean age 80 (SD ± 3.9) years] underwent supervised SBT as part of the Geriatric Multidisciplinary Strategy for the Good Care of the Elderly study. Training was offered once a week for 2.3 years. Isometric knee extension and flexion strength, chair rise, maximal walking speed, timed up and go (TUG) and Berg Balance Scale (BBS) were measured at baseline, after 2-year training and at post intervention follow-up. A linear mixed model was used to examine the change in physical functioning over time. Results: During the intervention, both women (2.5 s, p &lt; 0.001) and men (1.4 s, p = 0.013) improved their chair rise capacity. Women’s knee extension and flexion strength improved by 14.1 N (p = 0.003) and 16.3 N (p &lt; 0.001), respectively. Their maximal walking speed also improved by 0.08 m/s (p &lt; 0.001). In men, no changes in muscle strength or walking speed occurred during training or follow-up. No changes in BBS and TUG were observed at the end of the intervention, but decrease in BBS was observed at post-intervention follow-up in men. Conclusions: In community-dwelling older adults with variety in health and functioning supervised strength and balance training once a week may help to prevent age-related decline in mobility and muscle strength.","author":[{"dropping-particle":"","family":"Aartolahti","given":"Eeva","non-dropping-particle":"","parse-names":false,"suffix":""},{"dropping-particle":"","family":"Lönnroos","given":"Eija","non-dropping-particle":"","parse-names":false,"suffix":""},{"dropping-particle":"","family":"Hartikainen","given":"Sirpa","non-dropping-particle":"","parse-names":false,"suffix":""},{"dropping-particle":"","family":"Häkkinen","given":"Arja","non-dropping-particle":"","parse-names":false,"suffix":""}],"container-title":"Aging Clinical and Experimental Research","id":"ITEM-1","issue":"1","issued":{"date-parts":[["2020"]]},"page":"59-66","title":"Long-term strength and balance training in prevention of decline in muscle strength and mobility in older adults","type":"article-journal","volume":"32"},"uris":["http://www.mendeley.com/documents/?uuid=b74dadb1-8fab-48e1-b3d9-03936595d13e"]}],"mendeley":{"formattedCitation":"(Aartolahti, Lönnroos, Hartikainen, &amp; Häkkinen, 2020)","plainTextFormattedCitation":"(Aartolahti, Lönnroos, Hartikainen, &amp; Häkkinen, 2020)","previouslyFormattedCitation":"(Aartolahti, Lönnroos, Hartikainen, &amp; Häkkinen, 2020)"},"properties":{"noteIndex":0},"schema":"https://github.com/citation-style-language/schema/raw/master/csl-citation.json"}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(Aartolahti, Lönnroos, Hartikainen, &amp; Häkkinen, 2020)</w:t>
      </w:r>
      <w:r w:rsidRPr="00C4598C">
        <w:rPr>
          <w:rFonts w:ascii="Palatino Linotype" w:hAnsi="Palatino Linotype" w:cs="Times New Roman"/>
          <w:lang w:val="en-ID"/>
        </w:rPr>
        <w:fldChar w:fldCharType="end"/>
      </w:r>
      <w:r w:rsidRPr="00C4598C">
        <w:rPr>
          <w:rFonts w:ascii="Palatino Linotype" w:hAnsi="Palatino Linotype" w:cs="Times New Roman"/>
          <w:lang w:val="en-ID"/>
        </w:rPr>
        <w:t xml:space="preserve">, loss of skeletal muscle mass and function is associated with increased arterial stiffness in the elderly population, and the combination of muscle mass reduction and low muscle strength may lead to greater arterial stiffness than each of the individual conditions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{"citationItems":[{"id":"ITEM-1","itemData":{"DOI":"10.1038/s41371-020-0355-z","ISSN":"14765527","PMID":"32427885","abstract":"Age-related loss of skeletal muscle mass and function is associated with some predisposing factors that increase the risk of vascular damage. This study aimed to examine whether muscle mass reduction, low muscle strength, and their combination were related to arterial stiffness in community-dwelling elderly population. Study participants consisted of 1046 elderly individuals (aged 72 ± 5 years) without cardiovascular disease, chronic kidney disease, or liver disease. Bioelectrical impedance analysis was performed to estimate appendicular skeletal muscle mass (ASM). A value for ASM was normalized for height (ASM index, kg/m2). Handgrip strength (HGS) was measured using a Smedley grip dynamometer. Brachial-ankle pulse wave velocity (baPWV) was evaluated as an index of arterial stiffness using a simple automatic oscillometric technique. When participants were stratified based on baPWV cut-off values (&lt; 1800 cm/s, 1800 to 1999 cm/s, ≥ 2000 cm/s), ASM index and HGS progressively decreased with an increase in baPWV levels (P for trend &lt; 0.001). In multiple regression analysis, baPWV was significantly associated with ASM index (β = −0.270, P &lt; 0.001) and HGS (β = −0.102, P &lt; 0.001) independent of potential confounding factors. The baPWV of the subgroup with low ASM index and low HGS was significantly higher than that of those with only low ASM index or low HGS (P &lt; 0.001). These results suggest that loss of skeletal muscle mass and function is associated with increased arterial stiffness in the elderly population, and the combination of muscle mass reduction and low muscle strength may lead to greater arterial stiffness than each of the individual conditions.","author":[{"dropping-particle":"","family":"Zhang","given":"Yan","non-dropping-particle":"","parse-names":false,"suffix":""},{"dropping-particle":"","family":"Miyai","given":"Nobuyuki","non-dropping-particle":"","parse-names":false,"suffix":""},{"dropping-particle":"","family":"Abe","given":"Kaori","non-dropping-particle":"","parse-names":false,"suffix":""},{"dropping-particle":"","family":"Utsumi","given":"Miyoko","non-dropping-particle":"","parse-names":false,"suffix":""},{"dropping-particle":"","family":"Uematsu","given":"Yuji","non-dropping-particle":"","parse-names":false,"suffix":""},{"dropping-particle":"","family":"Terada","given":"Kazufumi","non-dropping-particle":"","parse-names":false,"suffix":""},{"dropping-particle":"","family":"Nakatani","given":"Toshiaki","non-dropping-particle":"","parse-names":false,"suffix":""},{"dropping-particle":"","family":"Takeshita","given":"Tatsuya","non-dropping-particle":"","parse-names":false,"suffix":""},{"dropping-particle":"","family":"Arita","given":"Mikio","non-dropping-particle":"","parse-names":false,"suffix":""}],"container-title":"Journal of Human Hypertension","id":"ITEM-1","issued":{"date-parts":[["2020"]]},"page":"0-1","title":"Muscle mass reduction, low muscle strength, and their combination are associated with arterial stiffness in community-dwelling elderly population: the Wakayama Study","type":"article-journal"},"uris":["http://www.mendeley.com/documents/?uuid=5d291bfa-93c2-4874-ba64-b841e1ea66e9"]}],"mendeley":{"formattedCitation":"(Zhang et al., 2020)","plainTextFormattedCitation":"(Zhang et al., 2020)","previouslyFormattedCitation":"(Zhang et al., 2020)"},"properties":{"noteIndex":0},"schema":"https://github.com/citation-style-language/schema/raw/master/csl-citation.json"}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(Zhang et al., 2020)</w:t>
      </w:r>
      <w:r w:rsidRPr="00C4598C">
        <w:rPr>
          <w:rFonts w:ascii="Palatino Linotype" w:hAnsi="Palatino Linotype" w:cs="Times New Roman"/>
          <w:lang w:val="en-ID"/>
        </w:rPr>
        <w:fldChar w:fldCharType="end"/>
      </w:r>
      <w:r w:rsidRPr="00C4598C">
        <w:rPr>
          <w:rFonts w:ascii="Palatino Linotype" w:hAnsi="Palatino Linotype" w:cs="Times New Roman"/>
          <w:lang w:val="en-ID"/>
        </w:rPr>
        <w:t>.</w:t>
      </w:r>
    </w:p>
    <w:p w:rsidR="00C4598C" w:rsidRPr="00C4598C" w:rsidRDefault="00C4598C" w:rsidP="00AB7787">
      <w:pPr>
        <w:spacing w:line="240" w:lineRule="auto"/>
        <w:ind w:firstLine="454"/>
        <w:jc w:val="both"/>
        <w:rPr>
          <w:rFonts w:ascii="Palatino Linotype" w:hAnsi="Palatino Linotype" w:cs="Times New Roman"/>
          <w:lang w:val="en-ID"/>
        </w:rPr>
      </w:pPr>
      <w:r w:rsidRPr="00C4598C">
        <w:rPr>
          <w:rFonts w:ascii="Palatino Linotype" w:hAnsi="Palatino Linotype" w:cs="Times New Roman"/>
          <w:lang w:val="en-ID"/>
        </w:rPr>
        <w:t xml:space="preserve">Majority of respondents were female. Older adults with female have high spirit for discussion and caring about health condition Based on studies previous that the longer life expectancy in female compared to male, a higher prevalence of females, and was 46.9 % in women in China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{"citationItems":[{"id":"ITEM-1","itemData":{"DOI":"10.1016/j.archger.2020.104010","ISSN":"18726976","PMID":"31951897","abstract":"Purpose: Currently there is no consensus on the correlation between metabolic syndrome (MetS) and muscle strength. The objective of this study was to examine the associations between MetS and its components and different handgrip strength (HS) indexes among Chinese community-dwelling elderly individuals. In addition, we hoped to find an optimal cutoff point for the index most relevant to MetS. Methods: Data were obtained from 909 participants aged ≥ 60 years (385 men, average age, 68.0 ± 5.9 y). We used the International Diabetes Federation metabolic syndrome guidelines to define MetS. General data of all participants were collected through questionnaires and anthropometric data were measured. At the same time, blood samples were collected. Results: The prevalence of MetS was 26.8 % in men and 46.9 % in women. In all HS indexes, HS/body fat mass was most strongly correlated with MetS, and the areas under the receiver-operating characteristic curve were 0.723 (95 % confidence interval [CI] = 0.669-0.776) in men and 0.619 (95 % CI = 0.571-0.667) in women, and the optimal cutoffs were 1.92 in men and 1.25 in women. The adjusted odds ratios (ORs) of MetS for low HS/body fat mass were 5.38 (95 % CI = 3.03–9.56, p &lt; 0.001) in men and 2.39 (95 % CI = 1.56–3.64, p &lt; 0.001) in women. Conclusions: HS/body fat mass appears to be the index best associated with MetS and its components, and in men it is more relevant than in women.","author":[{"dropping-particle":"","family":"Song","given":"Peiyu","non-dropping-particle":"","parse-names":false,"suffix":""},{"dropping-particle":"","family":"Zhang","given":"Yuanyuan","non-dropping-particle":"","parse-names":false,"suffix":""},{"dropping-particle":"","family":"Wang","given":"Yue","non-dropping-particle":"","parse-names":false,"suffix":""},{"dropping-particle":"","family":"Han","given":"Peipei","non-dropping-particle":"","parse-names":false,"suffix":""},{"dropping-particle":"","family":"Fu","given":"Liyuan","non-dropping-particle":"","parse-names":false,"suffix":""},{"dropping-particle":"","family":"Chen","given":"Xiaoyu","non-dropping-particle":"","parse-names":false,"suffix":""},{"dropping-particle":"","family":"Yu","given":"Hairui","non-dropping-particle":"","parse-names":false,"suffix":""},{"dropping-particle":"","family":"Hou","given":"Lin","non-dropping-particle":"","parse-names":false,"suffix":""},{"dropping-particle":"","family":"Yu","given":"Xing","non-dropping-particle":"","parse-names":false,"suffix":""},{"dropping-particle":"","family":"Wang","given":"Lu","non-dropping-particle":"","parse-names":false,"suffix":""},{"dropping-particle":"","family":"Yang","given":"Fengying","non-dropping-particle":"","parse-names":false,"suffix":""},{"dropping-particle":"","family":"Guo","given":"Qi","non-dropping-particle":"","parse-names":false,"suffix":""}],"container-title":"Archives of Gerontology and Geriatrics","id":"ITEM-1","issued":{"date-parts":[["2020"]]},"page":"8-9","title":"Clinical relevance of different handgrip strength indexes and metabolic syndrome in Chinese community-dwelling elderly individuals","type":"article-journal","volume":"87"},"uris":["http://www.mendeley.com/documents/?uuid=11e25a00-5b59-4d54-b4e0-7fc036e186b3"]}],"mendeley":{"formattedCitation":"(Song et al., 2020)","plainTextFormattedCitation":"(Song et al., 2020)","previouslyFormattedCitation":"(Song et al., 2020)"},"properties":{"noteIndex":0},"schema":"https://github.com/citation-style-language/schema/raw/master/csl-citation.json"}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(Song et al., 2020)</w:t>
      </w:r>
      <w:r w:rsidRPr="00C4598C">
        <w:rPr>
          <w:rFonts w:ascii="Palatino Linotype" w:hAnsi="Palatino Linotype" w:cs="Times New Roman"/>
          <w:lang w:val="en-ID"/>
        </w:rPr>
        <w:fldChar w:fldCharType="end"/>
      </w:r>
      <w:r w:rsidRPr="00C4598C">
        <w:rPr>
          <w:rFonts w:ascii="Palatino Linotype" w:hAnsi="Palatino Linotype" w:cs="Times New Roman"/>
          <w:lang w:val="en-ID"/>
        </w:rPr>
        <w:t xml:space="preserve"> </w:t>
      </w:r>
      <w:r w:rsidRPr="00C4598C">
        <w:rPr>
          <w:rFonts w:ascii="Palatino Linotype" w:hAnsi="Palatino Linotype" w:cs="Times New Roman"/>
          <w:b/>
          <w:lang w:val="en-ID"/>
        </w:rPr>
        <w:fldChar w:fldCharType="begin" w:fldLock="1"/>
      </w:r>
      <w:r w:rsidRPr="00C4598C">
        <w:rPr>
          <w:rFonts w:ascii="Palatino Linotype" w:hAnsi="Palatino Linotype" w:cs="Times New Roman"/>
          <w:b/>
          <w:lang w:val="en-ID"/>
        </w:rPr>
        <w:instrText>ADDIN CSL_CITATION {"citationItems":[{"id":"ITEM-1","itemData":{"DOI":"10.5935/1806-0013.20140040","ISSN":"1806-0013","abstract":"BACKGROUND AND OBJECTIVES:Hand grip strength is extremely important to perform daily life activities, such as holding objects, using a handrail or bus supports, carry out domestic tasks, self-care activities, that is, to maintain functionality and independence. This study aimed at evaluating hand grip strength of elderly people with pain in upper limbs.METHODS:The sample was made up of 119 elderly who were divided by gender, being 19 males and 100 females. General mean age was 67.93 years, mean age of males was 67.58 years and mean age of females was 68 years. The elderly were submitted to evaluation with Kratos® dynamometer.RESULTS:All studied individuals are right-handed and there is a higher prevalence of females. When hand grip strength was compared among genders with no pain, there has been stronger right hand strength and when it was compared between genders with pain, this has influenced the strength of both hands, being muscle strength stronger in males.CONCLUSION:After analyzing sample results, it was observed that pain has influenced hand grip strength being that male elderly people had stronger muscle strength as compared to females.","author":[{"dropping-particle":"","family":"Wagner","given":"Paulo Renato","non-dropping-particle":"","parse-names":false,"suffix":""},{"dropping-particle":"","family":"Ascenço","given":"Sandro","non-dropping-particle":"","parse-names":false,"suffix":""},{"dropping-particle":"","family":"Wibelinger","given":"Lia Mara","non-dropping-particle":"","parse-names":false,"suffix":""}],"container-title":"Revista Dor","id":"ITEM-1","issue":"3","issued":{"date-parts":[["2014"]]},"page":"182-185","title":"Hand grip strength in the elderly with upper limbs pain","type":"article-journal","volume":"15"},"uris":["http://www.mendeley.com/documents/?uuid=1725020c-49b9-4dbd-afd9-508aca69000e"]}],"mendeley":{"formattedCitation":"(Wagner, Ascenço, &amp; Wibelinger, 2014)","plainTextFormattedCitation":"(Wagner, Ascenço, &amp; Wibelinger, 2014)","previouslyFormattedCitation":"(Wagner, Ascenço, &amp; Wibelinger, 2014)"},"properties":{"noteIndex":0},"schema":"https://github.com/citation-style-language/schema/raw/master/csl-citation.json"}</w:instrText>
      </w:r>
      <w:r w:rsidRPr="00C4598C">
        <w:rPr>
          <w:rFonts w:ascii="Palatino Linotype" w:hAnsi="Palatino Linotype" w:cs="Times New Roman"/>
          <w:b/>
          <w:lang w:val="en-ID"/>
        </w:rPr>
        <w:fldChar w:fldCharType="separate"/>
      </w:r>
      <w:r w:rsidRPr="00C4598C">
        <w:rPr>
          <w:rFonts w:ascii="Palatino Linotype" w:hAnsi="Palatino Linotype" w:cs="Times New Roman"/>
          <w:noProof/>
          <w:lang w:val="en-ID"/>
        </w:rPr>
        <w:t>(Wagner, Ascenço, &amp; Wibelinger, 2014)</w:t>
      </w:r>
      <w:r w:rsidRPr="00C4598C">
        <w:rPr>
          <w:rFonts w:ascii="Palatino Linotype" w:hAnsi="Palatino Linotype" w:cs="Times New Roman"/>
          <w:b/>
          <w:lang w:val="en-ID"/>
        </w:rPr>
        <w:fldChar w:fldCharType="end"/>
      </w:r>
      <w:r w:rsidRPr="00C4598C">
        <w:rPr>
          <w:rFonts w:ascii="Palatino Linotype" w:hAnsi="Palatino Linotype" w:cs="Times New Roman"/>
          <w:b/>
          <w:lang w:val="en-ID"/>
        </w:rPr>
        <w:t xml:space="preserve"> </w:t>
      </w:r>
      <w:r w:rsidRPr="00C4598C">
        <w:rPr>
          <w:rFonts w:ascii="Palatino Linotype" w:hAnsi="Palatino Linotype" w:cs="Times New Roman"/>
          <w:b/>
          <w:lang w:val="en-ID"/>
        </w:rPr>
        <w:fldChar w:fldCharType="begin" w:fldLock="1"/>
      </w:r>
      <w:r w:rsidRPr="00C4598C">
        <w:rPr>
          <w:rFonts w:ascii="Palatino Linotype" w:hAnsi="Palatino Linotype" w:cs="Times New Roman"/>
          <w:b/>
          <w:lang w:val="en-ID"/>
        </w:rPr>
        <w:instrText>ADDIN CSL_CITATION {"citationItems":[{"id":"ITEM-1","itemData":{"DOI":"10.24198/jkp.v8i2.1361","ISSN":"2338-5324","abstract":"Dementia is increasing in the world which is a major cause of disability and dependence in the elderly. This causes the elderly can not do their daily activities so often live in a nursing home. It is important to know the factors associated with dementia to prevent and treat dementia with appropriate interventions. The objective of this study was to identify the demographic factors and disease history associated with dementia among elderly in nursing homes. The research method was cross sectional study. Sample were recruited from three nursing homes located in Bandung and Garut using purposive sampling technique for a-3 month period (n=163). Data were collected using questionnaire consisting of demographic data, disease history, and MMSE (Mini Mental State Examination). The analysis of data was performed using chi-square test, fisher test, and logistic regression analysis. In term of its association with dementia, low education had the higher odd ratio (OR: 5.90, 95% CI: 2.02-17.20, p=0.001) than unmarried status (OR: 4.78, 95% CI: 1.23-18.52, p=0.024) and stroke (OR: 0.23, 95% CI: 0.06-0.88, p=0.032). However, diabetes mellitus was identified as confounding variable (OR: 0.10, 95%CI: 0.01-1.01, p=0.051). In conclusion, low education, unmarried status, stroke, and diabetes mellitus were predictor factors of dementia among elderly in nursing homes. It is recommended to include effective treatment could be in the form of health education about management of stroke and diabetes, physical activity, improvement of nutritional adequate, and social activities to prevent loneliness.","author":[{"dropping-particle":"","family":"Fitriana","given":"Lisna Anisa","non-dropping-particle":"","parse-names":false,"suffix":""},{"dropping-particle":"","family":"Ufamy","given":"Nazhifa","non-dropping-particle":"","parse-names":false,"suffix":""},{"dropping-particle":"","family":"Anggadiredja","given":"Kusnandar","non-dropping-particle":"","parse-names":false,"suffix":""},{"dropping-particle":"","family":"Amalia","given":"Linda","non-dropping-particle":"","parse-names":false,"suffix":""},{"dropping-particle":"","family":"Setiawan","given":"Setiawan","non-dropping-particle":"","parse-names":false,"suffix":""},{"dropping-particle":"","family":"Adnyana","given":"I Ketut","non-dropping-particle":"","parse-names":false,"suffix":""}],"container-title":"Jurnal Keperawatan Padjadjaran","id":"ITEM-1","issue":"2","issued":{"date-parts":[["2020"]]},"title":"Demographic Factors and Disease History Associated with Dementia among Elderly in Nursing Homes","type":"article-journal","volume":"8"},"uris":["http://www.mendeley.com/documents/?uuid=c0a9c8ef-46e5-4f67-81b2-a50ead0c0c23"]}],"mendeley":{"formattedCitation":"(Fitriana et al., 2020)","plainTextFormattedCitation":"(Fitriana et al., 2020)","previouslyFormattedCitation":"(Fitriana et al., 2020)"},"properties":{"noteIndex":0},"schema":"https://github.com/citation-style-language/schema/raw/master/csl-citation.json"}</w:instrText>
      </w:r>
      <w:r w:rsidRPr="00C4598C">
        <w:rPr>
          <w:rFonts w:ascii="Palatino Linotype" w:hAnsi="Palatino Linotype" w:cs="Times New Roman"/>
          <w:b/>
          <w:lang w:val="en-ID"/>
        </w:rPr>
        <w:fldChar w:fldCharType="separate"/>
      </w:r>
      <w:r w:rsidRPr="00C4598C">
        <w:rPr>
          <w:rFonts w:ascii="Palatino Linotype" w:hAnsi="Palatino Linotype" w:cs="Times New Roman"/>
          <w:noProof/>
          <w:lang w:val="en-ID"/>
        </w:rPr>
        <w:t>(Fitriana et al., 2020)</w:t>
      </w:r>
      <w:r w:rsidRPr="00C4598C">
        <w:rPr>
          <w:rFonts w:ascii="Palatino Linotype" w:hAnsi="Palatino Linotype" w:cs="Times New Roman"/>
          <w:b/>
          <w:lang w:val="en-ID"/>
        </w:rPr>
        <w:fldChar w:fldCharType="end"/>
      </w:r>
      <w:r w:rsidRPr="00C4598C">
        <w:rPr>
          <w:rFonts w:ascii="Palatino Linotype" w:hAnsi="Palatino Linotype" w:cs="Times New Roman"/>
          <w:b/>
          <w:lang w:val="en-ID"/>
        </w:rPr>
        <w:t xml:space="preserve">. </w:t>
      </w:r>
      <w:r w:rsidRPr="00C4598C">
        <w:rPr>
          <w:rFonts w:ascii="Palatino Linotype" w:hAnsi="Palatino Linotype" w:cs="Times New Roman"/>
          <w:lang w:val="en-ID"/>
        </w:rPr>
        <w:t>Older adults majority were menopause phase</w:t>
      </w:r>
      <w:r w:rsidRPr="00C4598C">
        <w:rPr>
          <w:rFonts w:ascii="Palatino Linotype" w:hAnsi="Palatino Linotype" w:cs="Times New Roman"/>
          <w:b/>
          <w:lang w:val="en-ID"/>
        </w:rPr>
        <w:t xml:space="preserve">. </w:t>
      </w:r>
      <w:r w:rsidRPr="00C4598C">
        <w:rPr>
          <w:rFonts w:ascii="Palatino Linotype" w:hAnsi="Palatino Linotype" w:cs="Times New Roman"/>
          <w:lang w:val="en-ID"/>
        </w:rPr>
        <w:t xml:space="preserve">The risk of human maturity in women is being menopause. Menopuase period related by social, psychological, emotional aspects due to physiological changes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{"citationItems":[{"id":"ITEM-1","itemData":{"DOI":"10.22216/jen.v5i2.4802","author":[{"dropping-particle":"","family":"Sumandar, Yesi Septina Wati","given":"Ary Sri Oktora Rahayu","non-dropping-particle":"","parse-names":false,"suffix":""}],"container-title":"Enudrance","id":"ITEM-1","issue":"3","issued":{"date-parts":[["2020"]]},"page":"227-232","title":"The Anxiety Among Menopause Period : Study About Level , Precipitation Factors And Coping Mechanism","type":"article-journal","volume":"3"},"uris":["http://www.mendeley.com/documents/?uuid=abd6dc29-bb99-4a2c-9629-5f61b252a929"]}],"mendeley":{"formattedCitation":"(Sumandar, Yesi Septina Wati, 2020)","plainTextFormattedCitation":"(Sumandar, Yesi Septina Wati, 2020)","previouslyFormattedCitation":"(Sumandar, Yesi Septina Wati, 2020)"},"properties":{"noteIndex":0},"schema":"https://github.com/citation-style-language/schema/raw/master/csl-citation.json"}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(Sumandar, Yesi Septina Wati, 2020)</w:t>
      </w:r>
      <w:r w:rsidRPr="00C4598C">
        <w:rPr>
          <w:rFonts w:ascii="Palatino Linotype" w:hAnsi="Palatino Linotype" w:cs="Times New Roman"/>
          <w:lang w:val="en-ID"/>
        </w:rPr>
        <w:fldChar w:fldCharType="end"/>
      </w:r>
      <w:r w:rsidRPr="00C4598C">
        <w:rPr>
          <w:rFonts w:ascii="Palatino Linotype" w:hAnsi="Palatino Linotype" w:cs="Times New Roman"/>
          <w:lang w:val="en-ID"/>
        </w:rPr>
        <w:t xml:space="preserve">. 70,6% older adults were unemployed status. This can be seen that older adults low activity. Older adults with unemployed status was more likely to be health at risk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{"citationItems":[{"id":"ITEM-1","itemData":{"DOI":"10.1007/s11136-014-0723-7","ISSN":"15732649","PMID":"24872203","abstract":"Purpose: Latent class analysis (LCA), a statistical method for identifying latent classes within a population using multiple indicators, has been used to study the heterogeneity of health among the elderly. We aim to identify health status profiles of older adults using LCA and examine the socio-demographic characteristics associated with each profile. Methods: A community health survey of residents ≥60 years was conducted in Marine Parade, Singapore. We performed LCA on seven health indicators (number of chronic conditions, activities of daily living (ADL) dependency, pain, depression, cognition, social isolation, and frequency of socialising) to identify distinct classes of health status profiles. Multivariable logistic regression was conducted to examine the socio-demographic characteristics associated with each profile. Results: Of the 2,444 elderly interviewed, we identified two health status profiles: “Health at risk” (n = 465, 19.0 %), and “Relatively healthy” (n = 1,979, 81.0 %). The “Health at risk” profile was characterised by high probabilities of 3+ chronic conditions (λ = 0.63), at least one basic/instrumental ADL dependency (λ = 0.56), moderate/extreme pain (λ = 0.55), cognitive impairment (λ = 0.29), depressive symptoms (λ = 0.29), social isolation (λ = 0.27), and infrequent socialisation (λ = 0.61). Individuals who were older (65–74, 75–84, and 85+ years), females, of non-Chinese ethnicity (Indian, Malay, and Others), had primary and lower education, and were unemployed/not employed were more likely to be “Health at risk”. Conclusion: Using LCA, we identified two distinct health status profiles which accounted for the heterogeneity of the elderly population. Selected socio-demographic characteristics were associated with different profiles and provide implications for the structuring of future public health interventions targeting the older population.","author":[{"dropping-particle":"","family":"Ng","given":"Charis W.L.","non-dropping-particle":"","parse-names":false,"suffix":""},{"dropping-particle":"","family":"Luo","given":"Nan","non-dropping-particle":"","parse-names":false,"suffix":""},{"dropping-particle":"","family":"Heng","given":"Bee Hoon","non-dropping-particle":"","parse-names":false,"suffix":""}],"container-title":"Quality of Life Research","id":"ITEM-1","issue":"10","issued":{"date-parts":[["2014"]]},"page":"2889-2898","title":"Health status profiles in community-dwelling elderly using self-reported health indicators: a latent class analysis","type":"article-journal","volume":"23"},"uris":["http://www.mendeley.com/documents/?uuid=07778468-281f-4e7b-82b7-e52dd06ff04e"]}],"mendeley":{"formattedCitation":"(Ng, Luo, &amp; Heng, 2014)","plainTextFormattedCitation":"(Ng, Luo, &amp; Heng, 2014)","previouslyFormattedCitation":"(Ng, Luo, &amp; Heng, 2014)"},"properties":{"noteIndex":0},"schema":"https://github.com/citation-style-language/schema/raw/master/csl-citation.json"}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(Ng, Luo, &amp; Heng, 2014)</w:t>
      </w:r>
      <w:r w:rsidRPr="00C4598C">
        <w:rPr>
          <w:rFonts w:ascii="Palatino Linotype" w:hAnsi="Palatino Linotype" w:cs="Times New Roman"/>
          <w:lang w:val="en-ID"/>
        </w:rPr>
        <w:fldChar w:fldCharType="end"/>
      </w:r>
      <w:r w:rsidRPr="00C4598C">
        <w:rPr>
          <w:rFonts w:ascii="Palatino Linotype" w:hAnsi="Palatino Linotype" w:cs="Times New Roman"/>
          <w:lang w:val="en-ID"/>
        </w:rPr>
        <w:t>.</w:t>
      </w:r>
      <w:r w:rsidR="00AB7787">
        <w:rPr>
          <w:rFonts w:ascii="Palatino Linotype" w:hAnsi="Palatino Linotype" w:cs="Times New Roman"/>
          <w:lang w:val="en-ID"/>
        </w:rPr>
        <w:t xml:space="preserve"> </w:t>
      </w:r>
      <w:r w:rsidRPr="00C4598C">
        <w:rPr>
          <w:rFonts w:ascii="Palatino Linotype" w:hAnsi="Palatino Linotype" w:cs="Times New Roman"/>
          <w:color w:val="222222"/>
          <w:lang w:val="en"/>
        </w:rPr>
        <w:t xml:space="preserve">Physical workload will being impact on disorder muscle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{"citationItems":[{"id":"ITEM-1","itemData":{"ISBN":"9786239085711","author":[{"dropping-particle":"","family":"Utumo","given":"Agus Setya","non-dropping-particle":"","parse-names":false,"suffix":""}],"edition":"1","id":"ITEM-1","issued":{"date-parts":[["2019"]]},"number-of-pages":"39","publisher":"Media Sahabat Cendikia","publisher-place":"Surabaya","title":"Status kerja lansia Berdayaguna","type":"book"},"uris":["http://www.mendeley.com/documents/?uuid=f30f6889-465b-4c7a-ad8a-1abb7dddc607"]}],"mendeley":{"formattedCitation":"(Utumo, 2019)","plainTextFormattedCitation":"(Utumo, 2019)","previouslyFormattedCitation":"(Utumo, 2019)"},"properties":{"noteIndex":0},"schema":"https://github.com/citation-style-language/schema/raw/master/csl-citation.json"}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(Utumo, 2019)</w:t>
      </w:r>
      <w:r w:rsidRPr="00C4598C">
        <w:rPr>
          <w:rFonts w:ascii="Palatino Linotype" w:hAnsi="Palatino Linotype" w:cs="Times New Roman"/>
          <w:lang w:val="en-ID"/>
        </w:rPr>
        <w:fldChar w:fldCharType="end"/>
      </w:r>
      <w:r w:rsidRPr="00C4598C">
        <w:rPr>
          <w:rFonts w:ascii="Palatino Linotype" w:hAnsi="Palatino Linotype" w:cs="Times New Roman"/>
          <w:lang w:val="en-ID"/>
        </w:rPr>
        <w:t xml:space="preserve">. </w:t>
      </w:r>
      <w:r w:rsidRPr="00C4598C">
        <w:rPr>
          <w:rFonts w:ascii="Palatino Linotype" w:hAnsi="Palatino Linotype" w:cs="Times New Roman"/>
          <w:color w:val="222222"/>
          <w:lang w:val="en"/>
        </w:rPr>
        <w:t xml:space="preserve">A decrease spirit  for physical activity related to muscles. </w:t>
      </w:r>
    </w:p>
    <w:p w:rsidR="00C4598C" w:rsidRPr="00C4598C" w:rsidRDefault="00C4598C" w:rsidP="00AB7787">
      <w:pPr>
        <w:spacing w:line="240" w:lineRule="auto"/>
        <w:ind w:firstLine="720"/>
        <w:jc w:val="both"/>
        <w:rPr>
          <w:rFonts w:ascii="Palatino Linotype" w:hAnsi="Palatino Linotype" w:cs="Times New Roman"/>
          <w:lang w:val="en-ID"/>
        </w:rPr>
      </w:pPr>
      <w:r w:rsidRPr="00C4598C">
        <w:rPr>
          <w:rFonts w:ascii="Palatino Linotype" w:hAnsi="Palatino Linotype" w:cs="Times New Roman"/>
          <w:lang w:val="en-ID"/>
        </w:rPr>
        <w:t xml:space="preserve">Prevalence </w:t>
      </w:r>
      <w:r w:rsidR="00AB7787">
        <w:rPr>
          <w:rFonts w:ascii="Palatino Linotype" w:hAnsi="Palatino Linotype" w:cs="Times New Roman"/>
          <w:lang w:val="en-ID"/>
        </w:rPr>
        <w:t xml:space="preserve">of </w:t>
      </w:r>
      <w:r w:rsidRPr="00C4598C">
        <w:rPr>
          <w:rFonts w:ascii="Palatino Linotype" w:hAnsi="Palatino Linotype" w:cs="Times New Roman"/>
          <w:lang w:val="en-ID"/>
        </w:rPr>
        <w:t xml:space="preserve">metabolic syndrome among older adults could be influenced by age. Some studies have been done explored, Population aging is accompanied by higher prevalence of metabolic syndrome </w:t>
      </w:r>
      <w:r w:rsidRPr="00C4598C">
        <w:rPr>
          <w:rFonts w:ascii="Palatino Linotype" w:hAnsi="Palatino Linotype" w:cs="Times New Roman"/>
        </w:rPr>
        <w:t xml:space="preserve">in the Niterói Brazil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{"citationItems":[{"id":"ITEM-1","itemData":{"DOI":"10.5935/abc.20140013","ISSN":"16784170","PMID":"24676226","abstract":"Background: Metabolic syndrome (MS) is an aggregation of risk factors that increase the incidence of cardiovascular events and diabetes mellitus (DM). Population aging is accompanied by higher prevalence of MS, which varies depending on the population studied and the diagnostic criteria used. Objective: To determine prevalence of MS in the elderly using four diagnostic criteria and agreement between them. Methods: Cross-sectional study on 243 patients older than 60 years (180 women) in Niterói, RJ. They were evaluated by clinical examination, fasting glucose, fasting insulin, lipid profile and anthropometric measurements - weight, height, waist circumference and waist/hip ratio. Prevalence of MS was estimated by World Health Organization (WHO) modified, National Cholesterol Education Program - Adult Treatment Panel III (NCEP-ATP III), International Diabetes Federation (IDF) and Joint Interim Statement (JIS) criteria. Results: Prevalence was high with the four criteria WHO (51.9%), NCEP-ATPIII (45.2%), IDF (64.1%) and JIS (69.1%), and agreement between criteria by kappa was moderate in almost all comparisons WHO vs. IDF (k = 0.47;95% confidence interval (CI), 0.35 to 0.58); WHO vs. NCEP-ATPIII (k = 0.51; 95% CI, 0.40 to 0.61); WHO vs. JIS (k = 0.45; 95% CI, 0.33 to 0.56); IDF vs. NCEP-ATPIII (k = 0.55; 95% CI, 0.45 to 0.65) and NCEP-ATPIII vs. JIS (k = 0.53; 95% CI, 0.43-0.64), except between IDF vs. JIS (K = 0.89;95% CI, 0.83 to 0.95), which was considered good. Conclusion: Prevalence of MS was high with the four diagnostic criteria, mainly by JIS. There was good agreement between JIS and IDF criteria and moderate among the others.","author":[{"dropping-particle":"","family":"Saad","given":"Maria Auxiliadora Nogueira","non-dropping-particle":"","parse-names":false,"suffix":""},{"dropping-particle":"","family":"Cardoso","given":"Gilberto Perez","non-dropping-particle":"","parse-names":false,"suffix":""},{"dropping-particle":"","family":"Martins","given":"Wolney de Andrade","non-dropping-particle":"","parse-names":false,"suffix":""},{"dropping-particle":"","family":"Velarde","given":"Luis Guillermo Coca","non-dropping-particle":"","parse-names":false,"suffix":""},{"dropping-particle":"","family":"Cruz Filho","given":"Rubens Antunes","non-dropping-particle":"da","parse-names":false,"suffix":""}],"container-title":"Arquivos Brasileiros de Cardiologia","id":"ITEM-1","issue":"3","issued":{"date-parts":[["2014"]]},"page":"263-269","title":"Prevalência de síndrome metabólica em idosos e concordância entre quatro critérios","type":"article-journal","volume":"102"},"uris":["http://www.mendeley.com/documents/?uuid=41a1e538-c7d4-4869-b7ea-ec59efc65786"]}],"mendeley":{"formattedCitation":"(Saad, Cardoso, Martins, Velarde, &amp; da Cruz Filho, 2014)","plainTextFormattedCitation":"(Saad, Cardoso, Martins, Velarde, &amp; da Cruz Filho, 2014)","previouslyFormattedCitation":"(Saad, Cardoso, Martins, Velarde, &amp; da Cruz Filho, 2014)"},"properties":{"noteIndex":0},"schema":"https://github.com/citation-style-language/schema/raw/master/csl-citation.json"}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(Saad, Cardoso, Martins, Velarde, &amp; da Cruz Filho, 2014)</w:t>
      </w:r>
      <w:r w:rsidRPr="00C4598C">
        <w:rPr>
          <w:rFonts w:ascii="Palatino Linotype" w:hAnsi="Palatino Linotype" w:cs="Times New Roman"/>
          <w:lang w:val="en-ID"/>
        </w:rPr>
        <w:fldChar w:fldCharType="end"/>
      </w:r>
      <w:r w:rsidRPr="00C4598C">
        <w:rPr>
          <w:rFonts w:ascii="Palatino Linotype" w:hAnsi="Palatino Linotype" w:cs="Times New Roman"/>
          <w:lang w:val="en-ID"/>
        </w:rPr>
        <w:t>. A higher Body Mass Index, urban area were  predictive and influencing of developing metabolic syndrome</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{"citationItems":[{"id":"ITEM-1","itemData":{"DOI":"10.1371/journal.pone.0206424","ISSN":"19326203","PMID":"30379967","abstract":"Objectives The metabolic syndrome has been associated with a variety of individual variables, including demographics, lifestyle, clinical measures and physical performance. We aimed to identify independent predictors of the prevalence and incidence of metabolic syndrome in a large cohort of older adults. Methods The Longitudinal Aging Study Amsterdam is a prospective cohort including community-dwelling adults aged 55–85 years. Metabolic syndrome was defined according to criteria of the National Cholesterol Education Program Adult Treatment Panel III. The incidence of metabolic syndrome was calculated over a period of three years. Stepwise backward logistic regression analyses were used to identify predictors, including variables for demographics, lifestyle, clinical measures and physical performance, both in a cross-sectional cohort (n = 1292) and a longitudinal sub-cohort (n = 218). Results Prevalence and incidence of metabolic syndrome were 37% (n = 479) and 30% (n = 66), respectively. Cross-sectionally, heart disease (OR: 1.91, 95% CI: 1.37–2.65), peripheral artery disease (OR: 2.13, 95% CI: 1.32–3.42), diabetes (OR: 4.74, 95% CI: 2.65–8.48), cerebrovascular accident (OR: 1.92, 95% CI: 1.09–3.37), and a higher Body Mass Index (OR: 1.32, 95% CI: 1.26–1.38) were significant independent predictors of metabolic syndrome. Longitudinally, Body Mass Index (OR: 1.16, 95% CI: 1.05–1.27) was an independent predictor of metabolic syndrome. Conclusion Four age related diseases and a higher Body Mass Index were the only predictors of metabolic syndrome in the cross-sectional cohort, despite the large variety of variables included in the multivariable analysis. In the longitudinal sub-cohort, a higher Body Mass Index was predictive of developing metabolic syndrome.","author":[{"dropping-particle":"","family":"Ancum","given":"Jeanine M.","non-dropping-particle":"Van","parse-names":false,"suffix":""},{"dropping-particle":"","family":"Jonkman","given":"Nini H.","non-dropping-particle":"","parse-names":false,"suffix":""},{"dropping-particle":"","family":"Schoor","given":"Natasja M.","non-dropping-particle":"Van","parse-names":false,"suffix":""},{"dropping-particle":"","family":"Tressel","given":"Emily","non-dropping-particle":"","parse-names":false,"suffix":""},{"dropping-particle":"","family":"Meskers","given":"Carel G.M.","non-dropping-particle":"","parse-names":false,"suffix":""},{"dropping-particle":"","family":"Pijnappels","given":"Mirjam","non-dropping-particle":"","parse-names":false,"suffix":""},{"dropping-particle":"","family":"Maier","given":"Andrea B.","non-dropping-particle":"","parse-names":false,"suffix":""}],"container-title":"PLoS ONE","id":"ITEM-1","issue":"10","issued":{"date-parts":[["2018"]]},"page":"31-32","title":"Predictors of metabolic syndrome in community-dwelling older adults","type":"article-journal","volume":"13"},"uris":["http://www.mendeley.com/documents/?uuid=b0de96da-ac21-4e05-8989-e96d4b702f55"]}],"mendeley":{"formattedCitation":"(Van Ancum et al., 2018)","plainTextFormattedCitation":"(Van Ancum et al., 2018)","previouslyFormattedCitation":"(Van Ancum et al., 2018)"},"properties":{"noteIndex":0},"schema":"https://github.com/citation-style-language/schema/raw/master/csl-citation.json"}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(Van Ancum et al., 2018)</w:t>
      </w:r>
      <w:r w:rsidRPr="00C4598C">
        <w:rPr>
          <w:rFonts w:ascii="Palatino Linotype" w:hAnsi="Palatino Linotype" w:cs="Times New Roman"/>
          <w:lang w:val="en-ID"/>
        </w:rPr>
        <w:fldChar w:fldCharType="end"/>
      </w:r>
      <w:r w:rsidRPr="00C4598C">
        <w:rPr>
          <w:rFonts w:ascii="Palatino Linotype" w:hAnsi="Palatino Linotype" w:cs="Times New Roman"/>
          <w:lang w:val="en-ID"/>
        </w:rPr>
        <w:t>,</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{"citationItems":[{"id":"ITEM-1","itemData":{"DOI":"10.3760/cma.j.issn.0254-6450.2019.03.006","ISSN":"10004955","abstract":"Objective: To estimate the prevalence of MS in elderly people aged ≥60 years and its related factors in China and provide scientific evidence for prevention and control of MS in the elderly. Methods: Data used in this study were obtained from the 2013 Chinese Chronic Diseases and Risk Factor Surveillance Program. A total of 50 497 people aged ≥60 years were selected and interviewed through multistage stratified cluster sampling at 298 surveillance sites in 31 provinces. According to the Chinese MS diagnostic criteria proposed by the Chinese Medical Association Diabetes Branch in 2017, the prevalence rates of different MS forms were compared, and the main related factors were analyzed. Results: The prevalence rate of MS was 36.9% (95% CI: 35.4-38.5). The prevalence rate was higher in urban area than in the rural area, higher in females than in males, higher in eastern area than in western area. The prevalence rate of MS in elderly people aged ≥70 years was lower than that in those aged 60-69 years. The rate in the elderly with higher education and income levels was higher than that in the elderly with lower socioeconomic level. The comparison of the prevalence of the five forms of MS in the elderly showed that hypertension had the highest prevalence rate (72.8%), followed by hyperglycemia (41.7%) and central obesity (37.6%). The prevalence rates of hypertriglyceridemia and low HDL-C were 25.8% and 17.5%. The risk for MS in women was 1.20 times higher than that in men. Age, gender, education level, living area and urban or rural residence were the main factors influencing the prevalence of MS. Smoking, drinking and physical activity levels were correlated with MS. Conclusions: The risk for MS was higher in women than in men in China's elderly population, and the risk was related to socioeconomic level and life behaviors. It is recommended to carry out lifestyle interventions, such as increasing exercise and having reasonable diet for the elderly patients with MS. Hypertension and diabetes patients also need to be treated with drugs to reduce the risk of cardiovascular disease morbidity and mortality.","author":[{"dropping-particle":"","family":"Yan","given":"Huimin","non-dropping-particle":"","parse-names":false,"suffix":""},{"dropping-particle":"","family":"Zhang","given":"Mei","non-dropping-particle":"","parse-names":false,"suffix":""},{"dropping-particle":"","family":"Zhang","given":"Xiao","non-dropping-particle":"","parse-names":false,"suffix":""},{"dropping-particle":"","family":"Xia","given":"Yunting","non-dropping-particle":"","parse-names":false,"suffix":""},{"dropping-particle":"","family":"Shen","given":"Tao","non-dropping-particle":"","parse-names":false,"suffix":""},{"dropping-particle":"","family":"Zhao","given":"Zhenping","non-dropping-particle":"","parse-names":false,"suffix":""},{"dropping-particle":"","family":"Chen","given":"Zhihua","non-dropping-particle":"","parse-names":false,"suffix":""},{"dropping-particle":"","family":"Huang","given":"Zhengjing","non-dropping-particle":"","parse-names":false,"suffix":""},{"dropping-particle":"","family":"Wang","given":"Limin","non-dropping-particle":"","parse-names":false,"suffix":""}],"container-title":"Chinese Journal of Endemiology","id":"ITEM-1","issue":"3","issued":{"date-parts":[["2019"]]},"page":"284-289","title":"Study of epidemiological characteristics of metabolic syndrome and influencing factors in elderly people in China","type":"article-journal","volume":"40"},"uris":["http://www.mendeley.com/documents/?uuid=742ef7f1-d85e-42a5-bd0a-c29c0629f658"]}],"mendeley":{"formattedCitation":"(Yan et al., 2019)","plainTextFormattedCitation":"(Yan et al., 2019)","previouslyFormattedCitation":"(Yan et al., 2019)"},"properties":{"noteIndex":0},"schema":"https://github.com/citation-style-language/schema/raw/master/csl-citation.json"}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(Yan et al., 2019)</w:t>
      </w:r>
      <w:r w:rsidRPr="00C4598C">
        <w:rPr>
          <w:rFonts w:ascii="Palatino Linotype" w:hAnsi="Palatino Linotype" w:cs="Times New Roman"/>
          <w:lang w:val="en-ID"/>
        </w:rPr>
        <w:fldChar w:fldCharType="end"/>
      </w:r>
      <w:r w:rsidRPr="00C4598C">
        <w:rPr>
          <w:rFonts w:ascii="Palatino Linotype" w:hAnsi="Palatino Linotype" w:cs="Times New Roman"/>
          <w:lang w:val="en-ID"/>
        </w:rPr>
        <w:t xml:space="preserve">. The found of study  was higher in female. This study consistent among older adults in the China that risk for metabolic syndrome  in women was 1.20 times higher than that in men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{"citationItems":[{"id":"ITEM-1","itemData":{"DOI":"10.3760/cma.j.issn.0254-6450.2019.03.006","ISSN":"10004955","abstract":"Objective: To estimate the prevalence of MS in elderly people aged ≥60 years and its related factors in China and provide scientific evidence for prevention and control of MS in the elderly. Methods: Data used in this study were obtained from the 2013 Chinese Chronic Diseases and Risk Factor Surveillance Program. A total of 50 497 people aged ≥60 years were selected and interviewed through multistage stratified cluster sampling at 298 surveillance sites in 31 provinces. According to the Chinese MS diagnostic criteria proposed by the Chinese Medical Association Diabetes Branch in 2017, the prevalence rates of different MS forms were compared, and the main related factors were analyzed. Results: The prevalence rate of MS was 36.9% (95% CI: 35.4-38.5). The prevalence rate was higher in urban area than in the rural area, higher in females than in males, higher in eastern area than in western area. The prevalence rate of MS in elderly people aged ≥70 years was lower than that in those aged 60-69 years. The rate in the elderly with higher education and income levels was higher than that in the elderly with lower socioeconomic level. The comparison of the prevalence of the five forms of MS in the elderly showed that hypertension had the highest prevalence rate (72.8%), followed by hyperglycemia (41.7%) and central obesity (37.6%). The prevalence rates of hypertriglyceridemia and low HDL-C were 25.8% and 17.5%. The risk for MS in women was 1.20 times higher than that in men. Age, gender, education level, living area and urban or rural residence were the main factors influencing the prevalence of MS. Smoking, drinking and physical activity levels were correlated with MS. Conclusions: The risk for MS was higher in women than in men in China's elderly population, and the risk was related to socioeconomic level and life behaviors. It is recommended to carry out lifestyle interventions, such as increasing exercise and having reasonable diet for the elderly patients with MS. Hypertension and diabetes patients also need to be treated with drugs to reduce the risk of cardiovascular disease morbidity and mortality.","author":[{"dropping-particle":"","family":"Yan","given":"Huimin","non-dropping-particle":"","parse-names":false,"suffix":""},{"dropping-particle":"","family":"Zhang","given":"Mei","non-dropping-particle":"","parse-names":false,"suffix":""},{"dropping-particle":"","family":"Zhang","given":"Xiao","non-dropping-particle":"","parse-names":false,"suffix":""},{"dropping-particle":"","family":"Xia","given":"Yunting","non-dropping-particle":"","parse-names":false,"suffix":""},{"dropping-particle":"","family":"Shen","given":"Tao","non-dropping-particle":"","parse-names":false,"suffix":""},{"dropping-particle":"","family":"Zhao","given":"Zhenping","non-dropping-particle":"","parse-names":false,"suffix":""},{"dropping-particle":"","family":"Chen","given":"Zhihua","non-dropping-particle":"","parse-names":false,"suffix":""},{"dropping-particle":"","family":"Huang","given":"Zhengjing","non-dropping-particle":"","parse-names":false,"suffix":""},{"dropping-particle":"","family":"Wang","given":"Limin","non-dropping-particle":"","parse-names":false,"suffix":""}],"container-title":"Chinese Journal of Endemiology","id":"ITEM-1","issue":"3","issued":{"date-parts":[["2019"]]},"page":"284-289","title":"Study of epidemiological characteristics of metabolic syndrome and influencing factors in elderly people in China","type":"article-journal","volume":"40"},"uris":["http://www.mendeley.com/documents/?uuid=742ef7f1-d85e-42a5-bd0a-c29c0629f658"]}],"mendeley":{"formattedCitation":"(Yan et al., 2019)","plainTextFormattedCitation":"(Yan et al., 2019)","previouslyFormattedCitation":"(Yan et al., 2019)"},"properties":{"noteIndex":0},"schema":"https://github.com/citation-style-language/schema/raw/master/csl-citation.json"}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(Yan et al., 2019)</w:t>
      </w:r>
      <w:r w:rsidRPr="00C4598C">
        <w:rPr>
          <w:rFonts w:ascii="Palatino Linotype" w:hAnsi="Palatino Linotype" w:cs="Times New Roman"/>
          <w:lang w:val="en-ID"/>
        </w:rPr>
        <w:fldChar w:fldCharType="end"/>
      </w:r>
      <w:r w:rsidRPr="00C4598C">
        <w:rPr>
          <w:rFonts w:ascii="Palatino Linotype" w:hAnsi="Palatino Linotype" w:cs="Times New Roman"/>
          <w:lang w:val="en-ID"/>
        </w:rPr>
        <w:t xml:space="preserve">. Prevalence of metabolic syndrome in this study were affected by age, gender, living in the urban area. </w:t>
      </w:r>
    </w:p>
    <w:p w:rsidR="00C4598C" w:rsidRPr="00C4598C" w:rsidRDefault="00C4598C" w:rsidP="00C4598C">
      <w:pPr>
        <w:spacing w:line="240" w:lineRule="auto"/>
        <w:jc w:val="both"/>
        <w:rPr>
          <w:rFonts w:ascii="Palatino Linotype" w:hAnsi="Palatino Linotype" w:cs="Times New Roman"/>
          <w:b/>
          <w:lang w:val="en-ID"/>
        </w:rPr>
      </w:pPr>
      <w:r w:rsidRPr="00C4598C">
        <w:rPr>
          <w:rFonts w:ascii="Palatino Linotype" w:hAnsi="Palatino Linotype" w:cs="Times New Roman"/>
          <w:b/>
          <w:lang w:val="en-ID"/>
        </w:rPr>
        <w:t>Gender related to handgrip strenght</w:t>
      </w:r>
    </w:p>
    <w:p w:rsidR="00C4598C" w:rsidRPr="00C4598C" w:rsidRDefault="00C4598C" w:rsidP="00C4598C">
      <w:pPr>
        <w:spacing w:line="240" w:lineRule="auto"/>
        <w:jc w:val="both"/>
        <w:rPr>
          <w:rFonts w:ascii="Palatino Linotype" w:hAnsi="Palatino Linotype" w:cs="Times New Roman"/>
          <w:b/>
          <w:lang w:val="en-ID"/>
        </w:rPr>
      </w:pPr>
      <w:r w:rsidRPr="00C4598C">
        <w:rPr>
          <w:rFonts w:ascii="Palatino Linotype" w:hAnsi="Palatino Linotype" w:cs="Times New Roman"/>
          <w:lang w:val="en-ID"/>
        </w:rPr>
        <w:t xml:space="preserve">Gender was correlated by handgrip strength, male was stronger of female. It stated that female who have 6,27 times of chance to be low of handgrip strength in the future.  Based on studies have been done explored by Manual grip strength among older adults have effect measures were greater in men and proved to be a good marker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{"citationItems":[{"id":"ITEM-1","itemData":{"DOI":"10.1016/j.nut.2019.110636","ISSN":"18731244","PMID":"31877451","abstract":"Objective: The number of chronic diseases is associated with the reduction in muscle mass and strength in older people (≥60 y of age). The purpose of this study was to asses the association between multimorbidities and handgrip strength in older community-dwelling individuals from a city in southern Brazil, identifying potential differences according to sex and loss of muscle mass. Methods: This was a cross-sectional population-based study among older individuals living in the urban area of Pelotas, Rio Grande do Sul, Brazil. Grip strength was assessed with digital dynamometers according to the criteria of the European Working Group on Sarcopenia in Older People (EWGSOP) to define dynapenia. Multimorbidity was defined by self-report as the presence of at least 5 diseases diagnosed by a physician. Covariates of the study were age, sex, socioeconomic status, schooling, marital status, nutritional status, alcohol consumption, and smoking habits. Statistical analyses were stratified according to the presence of myopenia (low muscle mass). Results: We received completed information from 1336 individuals ≥60 y of age. Multimorbidity was 50% and 16% more prevalent, respectively, among men and women classified in the lower quartile of manual grip strength (prevalence ratio [PR], 1.50; 95% confidence interval [CI], 1.15–1.95 for men and PR, 1.16; 95% CI, 1.03–1.32 for women) compared with those from the upper quartile. Among men without myopenia, the presence of dynapenia increased the odds of having multimorbidity (PR, 1.42; 95% CI, 1.18–1.71). Among those with myopenia, there was a 10% increase in the prevalence of multimorbidity only for women with dynapenia (PR, 1.10; 95% CI, 1.00–1.21). Conclusion: Results from the present study indicated an association between manual grip strength and multimorbidity among this population, and the effect measures were greater in men. Manual grip strength proved to be a good marker of health in this population, especially in those who did not present with myopenia.","author":[{"dropping-particle":"","family":"Montes","given":"Manuela Carolina","non-dropping-particle":"","parse-names":false,"suffix":""},{"dropping-particle":"","family":"Bortolotto","given":"Caroline Cardozo","non-dropping-particle":"","parse-names":false,"suffix":""},{"dropping-particle":"","family":"Tomasi","given":"Elaine","non-dropping-particle":"","parse-names":false,"suffix":""},{"dropping-particle":"","family":"Gonzalez","given":"Maria Cristina","non-dropping-particle":"","parse-names":false,"suffix":""},{"dropping-particle":"","family":"Barbosa-Silva","given":"Thiago Gonzalez","non-dropping-particle":"","parse-names":false,"suffix":""},{"dropping-particle":"","family":"Domingues","given":"Marlos Rodrigues","non-dropping-particle":"","parse-names":false,"suffix":""},{"dropping-particle":"","family":"Bielemann","given":"Renata Moraes","non-dropping-particle":"","parse-names":false,"suffix":""}],"container-title":"Nutrition","id":"ITEM-1","issued":{"date-parts":[["2020"]]},"title":"Strength and multimorbidity among community-dwelling elderly from southern Brazil","type":"article-journal","volume":"71"},"uris":["http://www.mendeley.com/documents/?uuid=a23d48ac-9345-4bf4-af5f-6e508b79a1fe"]}],"mendeley":{"formattedCitation":"(Montes et al., 2020)","plainTextFormattedCitation":"(Montes et al., 2020)","previouslyFormattedCitation":"(Montes et al., 2020)"},"properties":{"noteIndex":0},"schema":"https://github.com/citation-style-language/schema/raw/master/csl-citation.json"}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(Montes et al., 2020)</w:t>
      </w:r>
      <w:r w:rsidRPr="00C4598C">
        <w:rPr>
          <w:rFonts w:ascii="Palatino Linotype" w:hAnsi="Palatino Linotype" w:cs="Times New Roman"/>
          <w:lang w:val="en-ID"/>
        </w:rPr>
        <w:fldChar w:fldCharType="end"/>
      </w:r>
      <w:r w:rsidRPr="00C4598C">
        <w:rPr>
          <w:rFonts w:ascii="Palatino Linotype" w:hAnsi="Palatino Linotype" w:cs="Times New Roman"/>
          <w:lang w:val="en-ID"/>
        </w:rPr>
        <w:t xml:space="preserve">. A study in Singapore also showed that gender was associated with handgrip strength </w:t>
      </w:r>
      <w:r w:rsidRPr="00C4598C">
        <w:rPr>
          <w:rFonts w:ascii="Palatino Linotype" w:hAnsi="Palatino Linotype" w:cs="Times New Roman"/>
          <w:b/>
          <w:lang w:val="en-ID"/>
        </w:rPr>
        <w:fldChar w:fldCharType="begin" w:fldLock="1"/>
      </w:r>
      <w:r w:rsidRPr="00C4598C">
        <w:rPr>
          <w:rFonts w:ascii="Palatino Linotype" w:hAnsi="Palatino Linotype" w:cs="Times New Roman"/>
          <w:b/>
          <w:lang w:val="en-ID"/>
        </w:rPr>
        <w:instrText>ADDIN CSL_CITATION {"citationItems":[{"id":"ITEM-1","itemData":{"DOI":"10.1186/s12877-017-0565-6","ISSN":"14712318","PMID":"28778190","abstract":"Background: Hand-grip strength (HGS) serves as a proxy measure for muscle function and physical health. Studies have shown that low HGS is associated with common age-related disorders including frailty and sarcopenia. The aim of the present study was to establish the normative values of HGS among older adults in Singapore and to compare it with data from Western and other Asian countries. The study also aimed to explore the sociodemographic and anthropometric correlates of HGS. Methods: Data were collected from 2043 men and women aged 60 years and above who took part in the Well-being of the Singapore Elderly study in 2013. HGS was obtained using a Jamar Plus + digital hand dynamometer. Normative data were stratified by; 5-year age groups, sex and ethnicity. Relationships between the HGS with various sociodemographic and anthropometric correlates were examined using multiple linear regression analysis. Results: The mean HGS demonstrate a decreasing trend with increased age across all ethnic groups and sexes. HGS among Singapore older adults were relatively low compared to Western and other Asian countries. Males in the youngest age group (60-64) and of Chinese ethnicity attained greater HGS values than their counterparts. When the regression analysis was stratified for sex, significant associations were found between height, upper arm circumference with HGS in the males sample, and between height, weight, waist circumference and HGS in the females sample. Conclusions: Older adults in Singapore have a relatively weak HGS compared to other countries. Greater height and weight, and smaller waist circumference are independently associated with greater HGS in females but not males. These results facilitate the interpretation of HGS conducting using Jamar digital-type dynamometers among the older adults in Singapore.","author":[{"dropping-particle":"","family":"Ong","given":"Hui Lin","non-dropping-particle":"","parse-names":false,"suffix":""},{"dropping-particle":"","family":"Abdin","given":"Edimansyah","non-dropping-particle":"","parse-names":false,"suffix":""},{"dropping-particle":"","family":"Chua","given":"Boon Yiang","non-dropping-particle":"","parse-names":false,"suffix":""},{"dropping-particle":"","family":"Zhang","given":"Yunjue","non-dropping-particle":"","parse-names":false,"suffix":""},{"dropping-particle":"","family":"Seow","given":"Esmond","non-dropping-particle":"","parse-names":false,"suffix":""},{"dropping-particle":"","family":"Vaingankar","given":"Janhavi Ajit","non-dropping-particle":"","parse-names":false,"suffix":""},{"dropping-particle":"","family":"Chong","given":"Siow Ann","non-dropping-particle":"","parse-names":false,"suffix":""},{"dropping-particle":"","family":"Subramaniam","given":"Mythily","non-dropping-particle":"","parse-names":false,"suffix":""}],"container-title":"BMC Geriatrics","id":"ITEM-1","issue":"1","issued":{"date-parts":[["2017"]]},"page":"1-11","publisher":"BMC Geriatrics","title":"Hand-grip strength among older adults in Singapore: A comparison with international norms and associative factors","type":"article-journal","volume":"17"},"uris":["http://www.mendeley.com/documents/?uuid=3a0463cb-d484-4584-b56f-b78d983073ff"]}],"mendeley":{"formattedCitation":"(Ong et al., 2017)","plainTextFormattedCitation":"(Ong et al., 2017)","previouslyFormattedCitation":"(Ong et al., 2017)"},"properties":{"noteIndex":0},"schema":"https://github.com/citation-style-language/schema/raw/master/csl-citation.json"}</w:instrText>
      </w:r>
      <w:r w:rsidRPr="00C4598C">
        <w:rPr>
          <w:rFonts w:ascii="Palatino Linotype" w:hAnsi="Palatino Linotype" w:cs="Times New Roman"/>
          <w:b/>
          <w:lang w:val="en-ID"/>
        </w:rPr>
        <w:fldChar w:fldCharType="separate"/>
      </w:r>
      <w:r w:rsidRPr="00C4598C">
        <w:rPr>
          <w:rFonts w:ascii="Palatino Linotype" w:hAnsi="Palatino Linotype" w:cs="Times New Roman"/>
          <w:noProof/>
          <w:lang w:val="en-ID"/>
        </w:rPr>
        <w:t>(Ong et al., 2017)</w:t>
      </w:r>
      <w:r w:rsidRPr="00C4598C">
        <w:rPr>
          <w:rFonts w:ascii="Palatino Linotype" w:hAnsi="Palatino Linotype" w:cs="Times New Roman"/>
          <w:b/>
          <w:lang w:val="en-ID"/>
        </w:rPr>
        <w:fldChar w:fldCharType="end"/>
      </w:r>
      <w:r w:rsidRPr="00C4598C">
        <w:rPr>
          <w:rFonts w:ascii="Palatino Linotype" w:hAnsi="Palatino Linotype" w:cs="Times New Roman"/>
          <w:b/>
          <w:lang w:val="en-ID"/>
        </w:rPr>
        <w:t xml:space="preserve">.  </w:t>
      </w:r>
      <w:r w:rsidRPr="00C4598C">
        <w:rPr>
          <w:rFonts w:ascii="Palatino Linotype" w:hAnsi="Palatino Linotype" w:cs="Times New Roman"/>
          <w:lang w:val="en-ID"/>
        </w:rPr>
        <w:t xml:space="preserve">Older adults who female with low handgrip strength  can plan with other, </w:t>
      </w:r>
      <w:r w:rsidRPr="00C4598C">
        <w:rPr>
          <w:rFonts w:ascii="Palatino Linotype" w:hAnsi="Palatino Linotype" w:cs="Times New Roman"/>
          <w:color w:val="222222"/>
          <w:lang w:val="en"/>
        </w:rPr>
        <w:t xml:space="preserve">can make a guidelines at home in maintaining and increasing muscle strength by consistently doing physical activities in accordance with body condition. In addition, considering that  have demensia symptom their need support by  family. </w:t>
      </w:r>
    </w:p>
    <w:p w:rsidR="00C4598C" w:rsidRPr="00C4598C" w:rsidRDefault="00C4598C" w:rsidP="00C4598C">
      <w:pPr>
        <w:spacing w:line="240" w:lineRule="auto"/>
        <w:jc w:val="both"/>
        <w:rPr>
          <w:rFonts w:ascii="Palatino Linotype" w:hAnsi="Palatino Linotype" w:cs="Times New Roman"/>
          <w:b/>
          <w:lang w:val="en-ID"/>
        </w:rPr>
      </w:pPr>
      <w:r w:rsidRPr="00C4598C">
        <w:rPr>
          <w:rFonts w:ascii="Palatino Linotype" w:hAnsi="Palatino Linotype" w:cs="Times New Roman"/>
          <w:b/>
          <w:lang w:val="en-ID"/>
        </w:rPr>
        <w:t>Employed status related to handgrip strength</w:t>
      </w:r>
    </w:p>
    <w:p w:rsidR="00C4598C" w:rsidRPr="00C4598C" w:rsidRDefault="00C4598C" w:rsidP="00AB7787">
      <w:pPr>
        <w:spacing w:line="240" w:lineRule="auto"/>
        <w:ind w:firstLine="720"/>
        <w:jc w:val="both"/>
        <w:rPr>
          <w:rFonts w:ascii="Palatino Linotype" w:hAnsi="Palatino Linotype" w:cs="Times New Roman"/>
          <w:b/>
          <w:lang w:val="en-ID"/>
        </w:rPr>
      </w:pPr>
      <w:r w:rsidRPr="00C4598C">
        <w:rPr>
          <w:rFonts w:ascii="Palatino Linotype" w:hAnsi="Palatino Linotype" w:cs="Times New Roman"/>
          <w:lang w:val="en-ID"/>
        </w:rPr>
        <w:t xml:space="preserve">Older adults with unemployed have  3,4 times of chance to be low of handgrip strength. Study supported the previous research in the Kudus Public health center have been conducted by  employed status related to Activity daily </w:t>
      </w:r>
      <w:r w:rsidRPr="00C4598C">
        <w:rPr>
          <w:rFonts w:ascii="Palatino Linotype" w:hAnsi="Palatino Linotype" w:cs="Times New Roman"/>
          <w:b/>
          <w:lang w:val="en-ID"/>
        </w:rPr>
        <w:fldChar w:fldCharType="begin" w:fldLock="1"/>
      </w:r>
      <w:r w:rsidRPr="00C4598C">
        <w:rPr>
          <w:rFonts w:ascii="Palatino Linotype" w:hAnsi="Palatino Linotype" w:cs="Times New Roman"/>
          <w:b/>
          <w:lang w:val="en-ID"/>
        </w:rPr>
        <w:instrText>ADDIN CSL_CITATION {"citationItems":[{"id":"ITEM-1","itemData":{"author":[{"dropping-particle":"","family":"Nurulistyawan Tri Purnanto","given":"Siti Khosiah","non-dropping-particle":"","parse-names":false,"suffix":""}],"container-title":"THE SHINE CAHAYA DUNIA D-III KEPERAWATAN","id":"ITEM-1","issue":"1","issued":{"date-parts":[["2018"]]},"page":"47-53","title":"Hubungan antara usia, jenis kelamin, pendidikan dan pekerjaan dengan Activity Daily Living (ADL) pada lansia di Puskesmas Gribig Kabupaten Kudus.","type":"article-journal","volume":"3"},"uris":["http://www.mendeley.com/documents/?uuid=32f3c19f-755b-4b0d-9fc0-e91f2ed0c564"]}],"mendeley":{"formattedCitation":"(Nurulistyawan Tri Purnanto, 2018)","plainTextFormattedCitation":"(Nurulistyawan Tri Purnanto, 2018)","previouslyFormattedCitation":"(Nurulistyawan Tri Purnanto, 2018)"},"properties":{"noteIndex":0},"schema":"https://github.com/citation-style-language/schema/raw/master/csl-citation.json"}</w:instrText>
      </w:r>
      <w:r w:rsidRPr="00C4598C">
        <w:rPr>
          <w:rFonts w:ascii="Palatino Linotype" w:hAnsi="Palatino Linotype" w:cs="Times New Roman"/>
          <w:b/>
          <w:lang w:val="en-ID"/>
        </w:rPr>
        <w:fldChar w:fldCharType="separate"/>
      </w:r>
      <w:r w:rsidRPr="00C4598C">
        <w:rPr>
          <w:rFonts w:ascii="Palatino Linotype" w:hAnsi="Palatino Linotype" w:cs="Times New Roman"/>
          <w:noProof/>
          <w:lang w:val="en-ID"/>
        </w:rPr>
        <w:t>(Nurulistyawan Tri Purnanto, 2018)</w:t>
      </w:r>
      <w:r w:rsidRPr="00C4598C">
        <w:rPr>
          <w:rFonts w:ascii="Palatino Linotype" w:hAnsi="Palatino Linotype" w:cs="Times New Roman"/>
          <w:b/>
          <w:lang w:val="en-ID"/>
        </w:rPr>
        <w:fldChar w:fldCharType="end"/>
      </w:r>
      <w:r w:rsidRPr="00C4598C">
        <w:rPr>
          <w:rFonts w:ascii="Palatino Linotype" w:hAnsi="Palatino Linotype" w:cs="Times New Roman"/>
          <w:b/>
          <w:lang w:val="en-ID"/>
        </w:rPr>
        <w:t xml:space="preserve">. </w:t>
      </w:r>
      <w:r w:rsidRPr="00C4598C">
        <w:rPr>
          <w:rFonts w:ascii="Palatino Linotype" w:hAnsi="Palatino Linotype" w:cs="Times New Roman"/>
          <w:lang w:val="en-ID"/>
        </w:rPr>
        <w:t>It is mean their with employed status impact to physical activity. Guidelines are just for older adults namely as part of their weekly physical activity, should do multicomponent physical activity that includes balance training as well as  muscle-strengthening activities and with chronic conditions should understand whether and how their conditions affect their ability to do regular physical activity safely</w:t>
      </w:r>
      <w:r w:rsidRPr="00C4598C">
        <w:rPr>
          <w:rFonts w:ascii="Palatino Linotype" w:hAnsi="Palatino Linotype" w:cs="Times New Roman"/>
          <w:b/>
          <w:lang w:val="en-ID"/>
        </w:rPr>
        <w:t xml:space="preserve"> </w:t>
      </w:r>
      <w:r w:rsidRPr="00C4598C">
        <w:rPr>
          <w:rFonts w:ascii="Palatino Linotype" w:hAnsi="Palatino Linotype" w:cs="Times New Roman"/>
          <w:b/>
          <w:lang w:val="en-ID"/>
        </w:rPr>
        <w:fldChar w:fldCharType="begin" w:fldLock="1"/>
      </w:r>
      <w:r w:rsidRPr="00C4598C">
        <w:rPr>
          <w:rFonts w:ascii="Palatino Linotype" w:hAnsi="Palatino Linotype" w:cs="Times New Roman"/>
          <w:b/>
          <w:lang w:val="en-ID"/>
        </w:rPr>
        <w:instrText>ADDIN CSL_CITATION {"citationItems":[{"id":"ITEM-1","itemData":{"DOI":"10.1249/fit.0000000000000472","ISSN":"00301787","PMID":"19090067","author":[{"dropping-particle":"","family":"II","given":"Alex M. Aar","non-dropping-particle":"","parse-names":false,"suffix":""}],"container-title":"U.S.Departement of Health and Human Service","edition":"2","id":"ITEM-1","issued":{"date-parts":[["2018"]]},"publisher-place":"USA","title":"Physical activity guidelines for Americans","type":"book"},"uris":["http://www.mendeley.com/documents/?uuid=1765b47c-063b-4c3b-a179-190df3d24b74"]}],"mendeley":{"formattedCitation":"(II, 2018)","plainTextFormattedCitation":"(II, 2018)"},"properties":{"noteIndex":0},"schema":"https://github.com/citation-style-language/schema/raw/master/csl-citation.json"}</w:instrText>
      </w:r>
      <w:r w:rsidRPr="00C4598C">
        <w:rPr>
          <w:rFonts w:ascii="Palatino Linotype" w:hAnsi="Palatino Linotype" w:cs="Times New Roman"/>
          <w:b/>
          <w:lang w:val="en-ID"/>
        </w:rPr>
        <w:fldChar w:fldCharType="separate"/>
      </w:r>
      <w:r w:rsidRPr="00C4598C">
        <w:rPr>
          <w:rFonts w:ascii="Palatino Linotype" w:hAnsi="Palatino Linotype" w:cs="Times New Roman"/>
          <w:noProof/>
          <w:lang w:val="en-ID"/>
        </w:rPr>
        <w:t>(II, 2018)</w:t>
      </w:r>
      <w:r w:rsidRPr="00C4598C">
        <w:rPr>
          <w:rFonts w:ascii="Palatino Linotype" w:hAnsi="Palatino Linotype" w:cs="Times New Roman"/>
          <w:b/>
          <w:lang w:val="en-ID"/>
        </w:rPr>
        <w:fldChar w:fldCharType="end"/>
      </w:r>
      <w:r w:rsidRPr="00C4598C">
        <w:rPr>
          <w:rFonts w:ascii="Palatino Linotype" w:hAnsi="Palatino Linotype" w:cs="Times New Roman"/>
          <w:b/>
          <w:lang w:val="en-ID"/>
        </w:rPr>
        <w:t xml:space="preserve">. </w:t>
      </w:r>
    </w:p>
    <w:p w:rsidR="00C4598C" w:rsidRPr="00C4598C" w:rsidRDefault="00C4598C" w:rsidP="00C4598C">
      <w:pPr>
        <w:spacing w:line="240" w:lineRule="auto"/>
        <w:jc w:val="both"/>
        <w:rPr>
          <w:rFonts w:ascii="Palatino Linotype" w:hAnsi="Palatino Linotype" w:cs="Times New Roman"/>
          <w:b/>
          <w:lang w:val="en-ID"/>
        </w:rPr>
      </w:pPr>
      <w:r w:rsidRPr="00C4598C">
        <w:rPr>
          <w:rFonts w:ascii="Palatino Linotype" w:hAnsi="Palatino Linotype" w:cs="Times New Roman"/>
          <w:b/>
          <w:lang w:val="en-ID"/>
        </w:rPr>
        <w:t>Metabolic syndrome related to handgrip strength</w:t>
      </w:r>
    </w:p>
    <w:p w:rsidR="00C4598C" w:rsidRPr="00C4598C" w:rsidRDefault="00C4598C" w:rsidP="00AB7787">
      <w:pPr>
        <w:spacing w:line="240" w:lineRule="auto"/>
        <w:ind w:firstLine="454"/>
        <w:jc w:val="both"/>
        <w:rPr>
          <w:rFonts w:ascii="Palatino Linotype" w:hAnsi="Palatino Linotype" w:cs="Times New Roman"/>
        </w:rPr>
      </w:pPr>
      <w:r w:rsidRPr="00C4598C">
        <w:rPr>
          <w:rFonts w:ascii="Palatino Linotype" w:hAnsi="Palatino Linotype" w:cs="Times New Roman"/>
          <w:lang w:val="en-ID"/>
        </w:rPr>
        <w:t>Metabolic syndrome</w:t>
      </w:r>
      <w:r w:rsidRPr="00C4598C">
        <w:rPr>
          <w:rFonts w:ascii="Palatino Linotype" w:hAnsi="Palatino Linotype" w:cs="Times New Roman"/>
          <w:b/>
          <w:lang w:val="en-ID"/>
        </w:rPr>
        <w:t xml:space="preserve"> </w:t>
      </w:r>
      <w:r w:rsidRPr="00C4598C">
        <w:rPr>
          <w:rFonts w:ascii="Palatino Linotype" w:hAnsi="Palatino Linotype" w:cs="Times New Roman"/>
          <w:lang w:val="en-ID"/>
        </w:rPr>
        <w:t xml:space="preserve">was correlated by handgrip strength. Older adults have been occurs disorder namely psysiology disorder or function body disorder. This related by aging. Metabolic syndrome is a group of several symptoms of metabolic disorders, such as hyperglycemia, hypertension, central obesty, dyslipidemia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{"citationItems":[{"id":"ITEM-1","itemData":{"DOI":"10.22435/pgm.v42i1.2418","ISSN":"0125-9717","abstract":"ABSTRACT\r Metabolic syndrome is a group of several symptoms of metabolic disorders, such as dyslipidemia, hyperglycemia, hypertension, dan central obesity. Metabolic syndrome does not only happens to adult, but also to the younger age which has further risk to type 2 diabetes melitus and cardiovascular diseases. Therefore, early detection and management to this syndrome for teenager is extremely important in order to prevent the comorbidities in the future. The aim of this study was to compare the sensitivity and specificity between NCEP-ATP III method and metabolic syndrome score as the examinations to determine the metabolic syndrome. This was a cross sectional study that was held on 2012. This study was held in some senior high schools in Bogor City. The samples of this study were 262 senior high school students with the range of age 15-19 years old and fulfill the inclusion criterias. The collected data were some needed characteristics of the respondents, such as gender, body mass index, abdominal circumference, waist circumference, fasting blood sugar, triglyceride, and blood pressure. This study found that the prevalence of the metabolic syndrome in teenager in Bogor City was higher (50,4%) with the NCEP ATP III method than the scoring methods (14,9%). The sensitivity and specificity test found that scoring method had lower sensitivity (&lt;25%) and higher specificity (&gt;96%) . This high specificity showed us that scoring system can be used to strengthen our presumption to metabolic syndrome, instead of diagnosing the metabolic syndrome itself.\r Keywords: metabolic syndrome, adolescent, diagnostic\r  \r ABSTRAK\r Sindroma metabolik merupakan kumpulan gejala kelainan metabolik tubuh yang mencakup dislipidemia, hiperglikemia, hipertensi, dan obesitas sentral. Sindroma metabolik tidak hanya terjadi pada usia dewasa, tetapi juga usia muda yang berisiko terhadap penyakit diabetes melitus tipe 2 dan penyakit kardiovaskuler. Deteksi dan manajemen dini terhadap permasalahan sindroma metabolik pada remaja sangat penting dan belum banyak dilakukan penelitian. Penelitian ini bertujuan menganilisis perbandingan sensitivitas dan spesifitas pemeriksaan sindroma metabolik yang menggunakan metode penilaian NCEP–ATP III sebagai baku standar dengan metode penilaian dengan skor sindroma metabolik. Disain penelitian ini cross-sectional yang dilakukan pada tahun 2012. Sampel penelitian ini adalah 262 siswa SMA Kota Bogor yang berusia 15-19 tahun dan memenuhi kriteria inklusi…","author":[{"dropping-particle":"","family":"Christijani","given":"Reviana","non-dropping-particle":"","parse-names":false,"suffix":""}],"container-title":"Penelitian Gizi dan Makanan (The Journal of Nutrition and Food Research)","id":"ITEM-1","issue":"1","issued":{"date-parts":[["2019"]]},"page":"21-28","title":"Penentuan Diagnosis Sindrom Metabolik Berdasarkan Penilaian Skor Sindrom Metabolik Dan Ncep Atp-Iii Pada Remaja [Penelitian Di Beberapa Sma Di Kota Bogor]","type":"article-journal","volume":"42"},"uris":["http://www.mendeley.com/documents/?uuid=fdcf12e7-1ff6-4cdc-ac62-6cc2f2629d20"]}],"mendeley":{"formattedCitation":"(Christijani, 2019)","plainTextFormattedCitation":"(Christijani, 2019)","previouslyFormattedCitation":"(Christijani, 2019)"},"properties":{"noteIndex":0},"schema":"https://github.com/citation-style-language/schema/raw/master/csl-citation.json"}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(Christijani, 2019)</w:t>
      </w:r>
      <w:r w:rsidRPr="00C4598C">
        <w:rPr>
          <w:rFonts w:ascii="Palatino Linotype" w:hAnsi="Palatino Linotype" w:cs="Times New Roman"/>
          <w:lang w:val="en-ID"/>
        </w:rPr>
        <w:fldChar w:fldCharType="end"/>
      </w:r>
      <w:r w:rsidRPr="00C4598C">
        <w:rPr>
          <w:rFonts w:ascii="Palatino Linotype" w:hAnsi="Palatino Linotype" w:cs="Times New Roman"/>
          <w:lang w:val="en-ID"/>
        </w:rPr>
        <w:t>.</w:t>
      </w:r>
      <w:r w:rsidRPr="00C4598C">
        <w:rPr>
          <w:rFonts w:ascii="Palatino Linotype" w:hAnsi="Palatino Linotype" w:cs="Times New Roman"/>
        </w:rPr>
        <w:t xml:space="preserve"> </w:t>
      </w:r>
      <w:r w:rsidRPr="00C4598C">
        <w:rPr>
          <w:rFonts w:ascii="Palatino Linotype" w:hAnsi="Palatino Linotype" w:cs="Times New Roman"/>
          <w:lang w:val="en-ID"/>
        </w:rPr>
        <w:t xml:space="preserve">The prevalence of hypertension among community-dwelling older adults was 35%,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{"citationItems":[{"id":"ITEM-1","itemData":{"DOI":"10.1007/s40615-019-00665-x","ISSN":"21968837","PMID":"31900746","abstract":"The objectives of this study were to estimate the prevalence of co-occurring hypertension and depression among community-dwelling older adults and to examine predictors of co-occurring hypertension among community-dwelling older adults. A secondary analysis was conducted from a statewide survey of community-dwelling older adults in the state of Alabama. Binomial logistic regression was used to examine predictors of co-occurring hypertension and depression. The prevalence of co-occurring hypertension and depression among community-dwelling older adults was 35%. In the multivariate analysis, non-Hispanic African American ethnicity (OR = 1.690, CI 1.221–2.341) and diabetes (OR = 1.668, CI 1.173–2.372) were positively associated with co-occurring hypertension and depression. Income ≥ $20,000 (OR = 0.544, CI 0.400–0.739), ≥ 3 meals on average per day (OR = 0.576, CI 0.429–0.774), and higher self-ratings of general health (OR = 0.728, CI 0.628–0.843) and physical activity (OR = 0.827, CI 0.694–0.986) were negatively associated with co-occurring hypertension and depression. Public health professionals and clinicians who provide care to older adults in public health, community health, and primary care settings are in ideal positions to develop intervention strategies to curb the prevalence and incidence of co-occurring hypertension and depression in this population. If intervention strategies are not implemented in these respective settings, unfortunately community-dwelling older adults of non-Hispanic African American ethnicity, with diabetes, or with low self-ratings of general health and physical activity will likely suffer from cardiovascular disease at much higher rates than their counterparts.","author":[{"dropping-particle":"","family":"Gray","given":"Cicily A.","non-dropping-particle":"","parse-names":false,"suffix":""},{"dropping-particle":"","family":"Sims","given":"Omar T.","non-dropping-particle":"","parse-names":false,"suffix":""},{"dropping-particle":"","family":"Oh","given":"Hyejung","non-dropping-particle":"","parse-names":false,"suffix":""}],"container-title":"Journal of Racial and Ethnic Health Disparities","id":"ITEM-1","issue":"2","issued":{"date-parts":[["2020"]]},"page":"365-373","title":"Prevalence and Predictors of Co-occurring Hypertension and Depression Among Community-Dwelling Older Adults","type":"article-journal","volume":"7"},"uris":["http://www.mendeley.com/documents/?uuid=db658cb5-0b84-44d2-ae71-d85414c698be"]}],"mendeley":{"formattedCitation":"(Gray, Sims, &amp; Oh, 2020)","plainTextFormattedCitation":"(Gray, Sims, &amp; Oh, 2020)","previouslyFormattedCitation":"(Gray, Sims, &amp; Oh, 2020)"},"properties":{"noteIndex":0},"schema":"https://github.com/citation-style-language/schema/raw/master/csl-citation.json"}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(Gray, Sims, &amp; Oh, 2020)</w:t>
      </w:r>
      <w:r w:rsidRPr="00C4598C">
        <w:rPr>
          <w:rFonts w:ascii="Palatino Linotype" w:hAnsi="Palatino Linotype" w:cs="Times New Roman"/>
          <w:lang w:val="en-ID"/>
        </w:rPr>
        <w:fldChar w:fldCharType="end"/>
      </w:r>
      <w:r w:rsidRPr="00C4598C">
        <w:rPr>
          <w:rFonts w:ascii="Palatino Linotype" w:hAnsi="Palatino Linotype" w:cs="Times New Roman"/>
          <w:lang w:val="en-ID"/>
        </w:rPr>
        <w:t xml:space="preserve">. Some studies have been done explored by metabolic syndrome namely  in the Chinese community-dwelling older adults  that aging condition can be occurs Metabolic syndrome was correlated with handgrip strength </w:t>
      </w: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ADDIN CSL_CITATION {"citationItems":[{"id":"ITEM-1","itemData":{"DOI":"10.1016/j.archger.2020.104010","ISSN":"18726976","PMID":"31951897","abstract":"Purpose: Currently there is no consensus on the correlation between metabolic syndrome (MetS) and muscle strength. The objective of this study was to examine the associations between MetS and its components and different handgrip strength (HS) indexes among Chinese community-dwelling elderly individuals. In addition, we hoped to find an optimal cutoff point for the index most relevant to MetS. Methods: Data were obtained from 909 participants aged ≥ 60 years (385 men, average age, 68.0 ± 5.9 y). We used the International Diabetes Federation metabolic syndrome guidelines to define MetS. General data of all participants were collected through questionnaires and anthropometric data were measured. At the same time, blood samples were collected. Results: The prevalence of MetS was 26.8 % in men and 46.9 % in women. In all HS indexes, HS/body fat mass was most strongly correlated with MetS, and the areas under the receiver-operating characteristic curve were 0.723 (95 % confidence interval [CI] = 0.669-0.776) in men and 0.619 (95 % CI = 0.571-0.667) in women, and the optimal cutoffs were 1.92 in men and 1.25 in women. The adjusted odds ratios (ORs) of MetS for low HS/body fat mass were 5.38 (95 % CI = 3.03–9.56, p &lt; 0.001) in men and 2.39 (95 % CI = 1.56–3.64, p &lt; 0.001) in women. Conclusions: HS/body fat mass appears to be the index best associated with MetS and its components, and in men it is more relevant than in women.","author":[{"dropping-particle":"","family":"Song","given":"Peiyu","non-dropping-particle":"","parse-names":false,"suffix":""},{"dropping-particle":"","family":"Zhang","given":"Yuanyuan","non-dropping-particle":"","parse-names":false,"suffix":""},{"dropping-particle":"","family":"Wang","given":"Yue","non-dropping-particle":"","parse-names":false,"suffix":""},{"dropping-particle":"","family":"Han","given":"Peipei","non-dropping-particle":"","parse-names":false,"suffix":""},{"dropping-particle":"","family":"Fu","given":"Liyuan","non-dropping-particle":"","parse-names":false,"suffix":""},{"dropping-particle":"","family":"Chen","given":"Xiaoyu","non-dropping-particle":"","parse-names":false,"suffix":""},{"dropping-particle":"","family":"Yu","given":"Hairui","non-dropping-particle":"","parse-names":false,"suffix":""},{"dropping-particle":"","family":"Hou","given":"Lin","non-dropping-particle":"","parse-names":false,"suffix":""},{"dropping-particle":"","family":"Yu","given":"Xing","non-dropping-particle":"","parse-names":false,"suffix":""},{"dropping-particle":"","family":"Wang","given":"Lu","non-dropping-particle":"","parse-names":false,"suffix":""},{"dropping-particle":"","family":"Yang","given":"Fengying","non-dropping-particle":"","parse-names":false,"suffix":""},{"dropping-particle":"","family":"Guo","given":"Qi","non-dropping-particle":"","parse-names":false,"suffix":""}],"container-title":"Archives of Gerontology and Geriatrics","id":"ITEM-1","issued":{"date-parts":[["2020"]]},"page":"8-9","title":"Clinical relevance of different handgrip strength indexes and metabolic syndrome in Chinese community-dwelling elderly individuals","type":"article-journal","volume":"87"},"uris":["http://www.mendeley.com/documents/?uuid=11e25a00-5b59-4d54-b4e0-7fc036e186b3"]}],"mendeley":{"formattedCitation":"(Song et al., 2020)","plainTextFormattedCitation":"(Song et al., 2020)","previouslyFormattedCitation":"(Song et al., 2020)"},"properties":{"noteIndex":0},"schema":"https://github.com/citation-style-language/schema/raw/master/csl-citation.json"}</w:instrText>
      </w:r>
      <w:r w:rsidRPr="00C4598C">
        <w:rPr>
          <w:rFonts w:ascii="Palatino Linotype" w:hAnsi="Palatino Linotype" w:cs="Times New Roman"/>
          <w:lang w:val="en-ID"/>
        </w:rPr>
        <w:fldChar w:fldCharType="separate"/>
      </w:r>
      <w:r w:rsidRPr="00C4598C">
        <w:rPr>
          <w:rFonts w:ascii="Palatino Linotype" w:hAnsi="Palatino Linotype" w:cs="Times New Roman"/>
          <w:noProof/>
          <w:lang w:val="en-ID"/>
        </w:rPr>
        <w:t>(Song et al., 2020)</w:t>
      </w:r>
      <w:r w:rsidRPr="00C4598C">
        <w:rPr>
          <w:rFonts w:ascii="Palatino Linotype" w:hAnsi="Palatino Linotype" w:cs="Times New Roman"/>
          <w:lang w:val="en-ID"/>
        </w:rPr>
        <w:fldChar w:fldCharType="end"/>
      </w:r>
      <w:r w:rsidRPr="00C4598C">
        <w:rPr>
          <w:rFonts w:ascii="Palatino Linotype" w:hAnsi="Palatino Linotype" w:cs="Times New Roman"/>
          <w:lang w:val="en-ID"/>
        </w:rPr>
        <w:t xml:space="preserve">. However, </w:t>
      </w:r>
      <w:r w:rsidRPr="00C4598C">
        <w:rPr>
          <w:rFonts w:ascii="Palatino Linotype" w:hAnsi="Palatino Linotype" w:cs="Times New Roman"/>
          <w:color w:val="212121"/>
          <w:shd w:val="clear" w:color="auto" w:fill="FFFFFF"/>
        </w:rPr>
        <w:t>older adults were  ≥65 years old in the Singapore found suggest that handgrip strength  had a significant negative association with metabolic syndrome</w:t>
      </w:r>
      <w:r w:rsidRPr="00C4598C">
        <w:rPr>
          <w:rFonts w:ascii="Palatino Linotype" w:hAnsi="Palatino Linotype" w:cs="Times New Roman"/>
        </w:rPr>
        <w:t xml:space="preserve"> </w:t>
      </w:r>
      <w:r w:rsidRPr="00C4598C">
        <w:rPr>
          <w:rFonts w:ascii="Palatino Linotype" w:hAnsi="Palatino Linotype" w:cs="Times New Roman"/>
          <w:color w:val="212121"/>
          <w:shd w:val="clear" w:color="auto" w:fill="FFFFFF"/>
        </w:rPr>
        <w:fldChar w:fldCharType="begin" w:fldLock="1"/>
      </w:r>
      <w:r w:rsidRPr="00C4598C">
        <w:rPr>
          <w:rFonts w:ascii="Palatino Linotype" w:hAnsi="Palatino Linotype" w:cs="Times New Roman"/>
          <w:color w:val="212121"/>
          <w:shd w:val="clear" w:color="auto" w:fill="FFFFFF"/>
        </w:rPr>
        <w:instrText>ADDIN CSL_CITATION {"citationItems":[{"id":"ITEM-1","itemData":{"DOI":"10.2147/DMSO.S260544","ISSN":"11787007","abstract":"Objective: To determine the prevalence of metabolic syndrome (MetS) in older adults and assess the association of MetS and adverse outcomes with handgrip strength (HGS), HGS/ body weight (BWT), and HGS/body mass index (BMI). Methods: A cross-sectional population study in Singapore. Data were collected on demographics, HGS, Timed-Up and Go (TUG), fasting glucose, lipid profile, blood pressure, waist circumference, frailty status, and cognition in 722 older adults ≥65 years old. MetS was defined using the Modified ATP III for Asians where at least three of the following conditions must be fulfilled, central obesity, high blood glucose (or diagnosed diabetes mellitus), high blood pressure (or diagnosed hypertension), low high-density lipoprotein, and high triglycerides. The waist circumference in the Modified ATP III for Asians is ≥90 cm for males or ≥80 cm for females. HGS and HGS normalized by BWT or BMI were used for the association. Results: The prevalence of MetS in older adults was 41.0%, and those ≥85 years old 50.0%. The prevalence was higher in females ≥70 years old, with 8 in 10 females ≥85 years having MetS. After adjusting for age, years of education, physical exercise, as well as history of smoking and alcohol consumption, higher HGS normalized by BWT or BMI was significantly associated with lower odds of having MetS (OR: 0.51,95% CI 0.43–0.61, p&lt;0.01) and (OR: 0.13, 95% CI 0.07–0.24, p&lt;0.01). Conclusion: Almost 1 in 2 older adults had MetS, with the prevalence in females much higher than that in males over 70 years old. Our findings suggest that both HGS/BWT and HGS/BMI had a significant negative association with MetS, its components, and adverse effects. Further studies are needed to validate the association and to determine optimal cutoffs of HGS/BWT and HGS/BMI for MetS, and the effectiveness of interventions in averting the risk.","author":[{"dropping-particle":"","family":"Merchant","given":"Reshma Aziz","non-dropping-particle":"","parse-names":false,"suffix":""},{"dropping-particle":"","family":"Chan","given":"Yiong Huak","non-dropping-particle":"","parse-names":false,"suffix":""},{"dropping-particle":"","family":"Lim","given":"Jia Yi","non-dropping-particle":"","parse-names":false,"suffix":""},{"dropping-particle":"","family":"Emorley","given":"John","non-dropping-particle":"","parse-names":false,"suffix":""}],"container-title":"Diabetes, Metabolic Syndrome and Obesity: Targets and Therapy","id":"ITEM-1","issued":{"date-parts":[["2020"]]},"page":"2677-2686","title":"Prevalence of metabolic syndrome and association with grip strength in older adults: Findings from the hope study","type":"article-journal","volume":"13"},"uris":["http://www.mendeley.com/documents/?uuid=48f13fb4-534a-416f-be0e-c026484b4dcf"]}],"mendeley":{"formattedCitation":"(Merchant, Chan, Lim, &amp; Emorley, 2020)","plainTextFormattedCitation":"(Merchant, Chan, Lim, &amp; Emorley, 2020)","previouslyFormattedCitation":"(Merchant, Chan, Lim, &amp; Emorley, 2020)"},"properties":{"noteIndex":0},"schema":"https://github.com/citation-style-language/schema/raw/master/csl-citation.json"}</w:instrText>
      </w:r>
      <w:r w:rsidRPr="00C4598C">
        <w:rPr>
          <w:rFonts w:ascii="Palatino Linotype" w:hAnsi="Palatino Linotype" w:cs="Times New Roman"/>
          <w:color w:val="212121"/>
          <w:shd w:val="clear" w:color="auto" w:fill="FFFFFF"/>
        </w:rPr>
        <w:fldChar w:fldCharType="separate"/>
      </w:r>
      <w:r w:rsidRPr="00C4598C">
        <w:rPr>
          <w:rFonts w:ascii="Palatino Linotype" w:hAnsi="Palatino Linotype" w:cs="Times New Roman"/>
          <w:noProof/>
          <w:color w:val="212121"/>
          <w:shd w:val="clear" w:color="auto" w:fill="FFFFFF"/>
        </w:rPr>
        <w:t>(Merchant, Chan, Lim, &amp; Emorley, 2020)</w:t>
      </w:r>
      <w:r w:rsidRPr="00C4598C">
        <w:rPr>
          <w:rFonts w:ascii="Palatino Linotype" w:hAnsi="Palatino Linotype" w:cs="Times New Roman"/>
          <w:color w:val="212121"/>
          <w:shd w:val="clear" w:color="auto" w:fill="FFFFFF"/>
        </w:rPr>
        <w:fldChar w:fldCharType="end"/>
      </w:r>
      <w:r w:rsidRPr="00C4598C">
        <w:rPr>
          <w:rFonts w:ascii="Palatino Linotype" w:hAnsi="Palatino Linotype" w:cs="Times New Roman"/>
        </w:rPr>
        <w:t xml:space="preserve">. </w:t>
      </w:r>
    </w:p>
    <w:p w:rsidR="00C4598C" w:rsidRPr="00C4598C" w:rsidRDefault="00C4598C" w:rsidP="00AB7787">
      <w:pPr>
        <w:spacing w:line="240" w:lineRule="auto"/>
        <w:ind w:firstLine="454"/>
        <w:jc w:val="both"/>
        <w:rPr>
          <w:rFonts w:ascii="Palatino Linotype" w:hAnsi="Palatino Linotype" w:cs="Times New Roman"/>
          <w:color w:val="212121"/>
          <w:shd w:val="clear" w:color="auto" w:fill="FFFFFF"/>
        </w:rPr>
      </w:pPr>
      <w:r w:rsidRPr="00C4598C">
        <w:rPr>
          <w:rFonts w:ascii="Palatino Linotype" w:hAnsi="Palatino Linotype" w:cs="Times New Roman"/>
          <w:color w:val="212121"/>
          <w:shd w:val="clear" w:color="auto" w:fill="FFFFFF"/>
        </w:rPr>
        <w:t xml:space="preserve">According to researchers that occurs caused by older adults in the Singapore have been effective health behaviours. Besides that in Singapore have been home nursing in the urban area with good care and government has good concern for the older adults, home nursing have been good quality, Nurses have been given good care. Furthermore, Singapore has a home nursing private well. </w:t>
      </w:r>
    </w:p>
    <w:p w:rsidR="00C4598C" w:rsidRPr="00C4598C" w:rsidRDefault="00C4598C" w:rsidP="00C4598C">
      <w:pPr>
        <w:pStyle w:val="HTMLPreformatted"/>
        <w:shd w:val="clear" w:color="auto" w:fill="FFFFFF" w:themeFill="background1"/>
        <w:jc w:val="both"/>
        <w:rPr>
          <w:rFonts w:ascii="Palatino Linotype" w:hAnsi="Palatino Linotype" w:cs="Times New Roman"/>
          <w:color w:val="222222"/>
          <w:sz w:val="22"/>
          <w:szCs w:val="22"/>
        </w:rPr>
      </w:pPr>
    </w:p>
    <w:p w:rsidR="00C4598C" w:rsidRPr="00C4598C" w:rsidRDefault="00C4598C" w:rsidP="00C4598C">
      <w:pPr>
        <w:pStyle w:val="Heading1"/>
        <w:numPr>
          <w:ilvl w:val="0"/>
          <w:numId w:val="0"/>
        </w:numPr>
        <w:ind w:left="454" w:hanging="454"/>
        <w:rPr>
          <w:rFonts w:ascii="Palatino Linotype" w:hAnsi="Palatino Linotype"/>
          <w:sz w:val="22"/>
          <w:szCs w:val="22"/>
          <w:lang w:val="en-GB"/>
        </w:rPr>
      </w:pPr>
      <w:r w:rsidRPr="00C4598C">
        <w:rPr>
          <w:rFonts w:ascii="Palatino Linotype" w:hAnsi="Palatino Linotype"/>
          <w:sz w:val="22"/>
          <w:szCs w:val="22"/>
          <w:lang w:val="en-GB"/>
        </w:rPr>
        <w:t>CONCLUSION</w:t>
      </w:r>
    </w:p>
    <w:p w:rsidR="00C4598C" w:rsidRPr="00C4598C" w:rsidRDefault="00C4598C" w:rsidP="00C4598C">
      <w:pPr>
        <w:pStyle w:val="HTMLPreformatted"/>
        <w:shd w:val="clear" w:color="auto" w:fill="FFFFFF" w:themeFill="background1"/>
        <w:tabs>
          <w:tab w:val="clear" w:pos="6412"/>
          <w:tab w:val="clear" w:pos="7328"/>
          <w:tab w:val="clear" w:pos="8244"/>
          <w:tab w:val="clear" w:pos="9160"/>
        </w:tabs>
        <w:jc w:val="both"/>
        <w:rPr>
          <w:rFonts w:ascii="Palatino Linotype" w:hAnsi="Palatino Linotype" w:cs="Times New Roman"/>
          <w:sz w:val="22"/>
          <w:szCs w:val="22"/>
          <w:shd w:val="clear" w:color="auto" w:fill="FFFFFF"/>
        </w:rPr>
      </w:pPr>
      <w:r w:rsidRPr="00C4598C">
        <w:rPr>
          <w:rFonts w:ascii="Palatino Linotype" w:hAnsi="Palatino Linotype" w:cs="Times New Roman"/>
          <w:sz w:val="22"/>
          <w:szCs w:val="22"/>
        </w:rPr>
        <w:t xml:space="preserve">The present study demonstrated that gender, employed status , metabolic syndrome were associated with handgrip strength community dwelling older adults in </w:t>
      </w:r>
      <w:r w:rsidRPr="00C4598C">
        <w:rPr>
          <w:rFonts w:ascii="Palatino Linotype" w:hAnsi="Palatino Linotype" w:cs="Times New Roman"/>
          <w:sz w:val="22"/>
          <w:szCs w:val="22"/>
          <w:lang w:val="en-ID"/>
        </w:rPr>
        <w:t xml:space="preserve">Kulim Distric Pekanbaru Indonesia. </w:t>
      </w:r>
      <w:r w:rsidRPr="00C4598C">
        <w:rPr>
          <w:rFonts w:ascii="Palatino Linotype" w:hAnsi="Palatino Linotype" w:cs="Times New Roman"/>
          <w:sz w:val="22"/>
          <w:szCs w:val="22"/>
          <w:lang w:val="en-GB" w:eastAsia="ja-JP"/>
        </w:rPr>
        <w:t xml:space="preserve">This research aims to help geriatric nurse  enhance education and health promotion through handgrip strength examination. By getting handgrip strength condition will impact to health behaviors, expecially for low handgrip strength. </w:t>
      </w:r>
      <w:r w:rsidRPr="00C4598C">
        <w:rPr>
          <w:rFonts w:ascii="Palatino Linotype" w:hAnsi="Palatino Linotype" w:cs="Times New Roman"/>
          <w:sz w:val="22"/>
          <w:szCs w:val="22"/>
        </w:rPr>
        <w:t xml:space="preserve">All these findings highlight the importance of enhance education and motivation their and families, </w:t>
      </w:r>
      <w:r w:rsidRPr="00C4598C">
        <w:rPr>
          <w:rFonts w:ascii="Palatino Linotype" w:hAnsi="Palatino Linotype" w:cs="Times New Roman"/>
          <w:color w:val="222222"/>
          <w:sz w:val="22"/>
          <w:szCs w:val="22"/>
          <w:lang w:val="en"/>
        </w:rPr>
        <w:t>visit Posbindu continuously</w:t>
      </w:r>
      <w:r w:rsidRPr="00C4598C">
        <w:rPr>
          <w:rFonts w:ascii="Palatino Linotype" w:hAnsi="Palatino Linotype" w:cs="Times New Roman"/>
          <w:color w:val="000000" w:themeColor="text1"/>
          <w:sz w:val="22"/>
          <w:szCs w:val="22"/>
          <w:lang w:val="en"/>
        </w:rPr>
        <w:t xml:space="preserve">, establish setting up exercise, given nursing care with holistic care appoach, </w:t>
      </w:r>
      <w:r w:rsidRPr="00C4598C">
        <w:rPr>
          <w:rFonts w:ascii="Palatino Linotype" w:hAnsi="Palatino Linotype" w:cs="Times New Roman"/>
          <w:color w:val="212121"/>
          <w:sz w:val="22"/>
          <w:szCs w:val="22"/>
          <w:shd w:val="clear" w:color="auto" w:fill="FFFFFF"/>
        </w:rPr>
        <w:t xml:space="preserve"> Collaboration on another sector such as </w:t>
      </w:r>
      <w:r w:rsidRPr="00C4598C">
        <w:rPr>
          <w:rFonts w:ascii="Palatino Linotype" w:hAnsi="Palatino Linotype" w:cs="Times New Roman"/>
          <w:color w:val="222222"/>
          <w:sz w:val="22"/>
          <w:szCs w:val="22"/>
          <w:lang w:val="en"/>
        </w:rPr>
        <w:t xml:space="preserve">general practitioners, nutritionist, </w:t>
      </w:r>
      <w:r w:rsidRPr="00C4598C">
        <w:rPr>
          <w:rFonts w:ascii="Palatino Linotype" w:hAnsi="Palatino Linotype" w:cs="Times New Roman"/>
          <w:color w:val="212121"/>
          <w:sz w:val="22"/>
          <w:szCs w:val="22"/>
          <w:shd w:val="clear" w:color="auto" w:fill="FFFFFF"/>
        </w:rPr>
        <w:t xml:space="preserve">psychologist, religious leader, social worker and decision makers </w:t>
      </w:r>
      <w:r w:rsidRPr="00C4598C">
        <w:rPr>
          <w:rFonts w:ascii="Palatino Linotype" w:hAnsi="Palatino Linotype" w:cs="Times New Roman"/>
          <w:color w:val="222222"/>
          <w:sz w:val="22"/>
          <w:szCs w:val="22"/>
          <w:lang w:val="en"/>
        </w:rPr>
        <w:t>sustainably</w:t>
      </w:r>
    </w:p>
    <w:p w:rsidR="00C4598C" w:rsidRPr="00C4598C" w:rsidRDefault="00C4598C" w:rsidP="00C4598C">
      <w:pPr>
        <w:rPr>
          <w:rFonts w:ascii="Palatino Linotype" w:hAnsi="Palatino Linotype"/>
          <w:lang w:val="en-GB" w:eastAsia="ja-JP"/>
        </w:rPr>
      </w:pPr>
    </w:p>
    <w:p w:rsidR="00AB7787" w:rsidRDefault="00AB7787" w:rsidP="00C4598C">
      <w:pPr>
        <w:spacing w:line="360" w:lineRule="auto"/>
        <w:jc w:val="both"/>
        <w:rPr>
          <w:rFonts w:ascii="Palatino Linotype" w:hAnsi="Palatino Linotype" w:cs="Times New Roman"/>
          <w:b/>
          <w:lang w:val="en-ID"/>
        </w:rPr>
      </w:pPr>
    </w:p>
    <w:p w:rsidR="00C4598C" w:rsidRPr="00C4598C" w:rsidRDefault="00C4598C" w:rsidP="00C4598C">
      <w:pPr>
        <w:spacing w:line="360" w:lineRule="auto"/>
        <w:jc w:val="both"/>
        <w:rPr>
          <w:rFonts w:ascii="Palatino Linotype" w:hAnsi="Palatino Linotype" w:cs="Times New Roman"/>
          <w:b/>
          <w:lang w:val="en-ID"/>
        </w:rPr>
      </w:pPr>
      <w:r w:rsidRPr="00C4598C">
        <w:rPr>
          <w:rFonts w:ascii="Palatino Linotype" w:hAnsi="Palatino Linotype" w:cs="Times New Roman"/>
          <w:b/>
          <w:lang w:val="en-ID"/>
        </w:rPr>
        <w:t xml:space="preserve">References </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lang w:val="en-ID"/>
        </w:rPr>
        <w:fldChar w:fldCharType="begin" w:fldLock="1"/>
      </w:r>
      <w:r w:rsidRPr="00C4598C">
        <w:rPr>
          <w:rFonts w:ascii="Palatino Linotype" w:hAnsi="Palatino Linotype" w:cs="Times New Roman"/>
          <w:lang w:val="en-ID"/>
        </w:rPr>
        <w:instrText xml:space="preserve">ADDIN Mendeley Bibliography CSL_BIBLIOGRAPHY </w:instrText>
      </w:r>
      <w:r w:rsidRPr="00C4598C">
        <w:rPr>
          <w:rFonts w:ascii="Palatino Linotype" w:hAnsi="Palatino Linotype" w:cs="Times New Roman"/>
          <w:lang w:val="en-ID"/>
        </w:rPr>
        <w:fldChar w:fldCharType="separate"/>
      </w:r>
      <w:r w:rsidRPr="00C4598C">
        <w:rPr>
          <w:rFonts w:ascii="Palatino Linotype" w:hAnsi="Palatino Linotype" w:cs="Times New Roman"/>
          <w:noProof/>
        </w:rPr>
        <w:t xml:space="preserve">Aartolahti, E., Lönnroos, E., Hartikainen, S., &amp; Häkkinen, A. (2020). Long-term strength and balance training in prevention of decline in muscle strength and mobility in older adults. </w:t>
      </w:r>
      <w:r w:rsidRPr="00C4598C">
        <w:rPr>
          <w:rFonts w:ascii="Palatino Linotype" w:hAnsi="Palatino Linotype" w:cs="Times New Roman"/>
          <w:i/>
          <w:iCs/>
          <w:noProof/>
        </w:rPr>
        <w:t>Aging Clinical and Experimental Research</w:t>
      </w:r>
      <w:r w:rsidRPr="00C4598C">
        <w:rPr>
          <w:rFonts w:ascii="Palatino Linotype" w:hAnsi="Palatino Linotype" w:cs="Times New Roman"/>
          <w:noProof/>
        </w:rPr>
        <w:t xml:space="preserve">, </w:t>
      </w:r>
      <w:r w:rsidRPr="00C4598C">
        <w:rPr>
          <w:rFonts w:ascii="Palatino Linotype" w:hAnsi="Palatino Linotype" w:cs="Times New Roman"/>
          <w:i/>
          <w:iCs/>
          <w:noProof/>
        </w:rPr>
        <w:t>32</w:t>
      </w:r>
      <w:r w:rsidRPr="00C4598C">
        <w:rPr>
          <w:rFonts w:ascii="Palatino Linotype" w:hAnsi="Palatino Linotype" w:cs="Times New Roman"/>
          <w:noProof/>
        </w:rPr>
        <w:t>(1), 59–66. https://doi.org/10.1007/s40520-019-01155-0</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Christijani, R. (2019). Penentuan Diagnosis Sindrom Metabolik Berdasarkan Penilaian Skor Sindrom Metabolik Dan Ncep Atp-Iii Pada Remaja [Penelitian Di Beberapa Sma Di Kota Bogor]. </w:t>
      </w:r>
      <w:r w:rsidRPr="00C4598C">
        <w:rPr>
          <w:rFonts w:ascii="Palatino Linotype" w:hAnsi="Palatino Linotype" w:cs="Times New Roman"/>
          <w:i/>
          <w:iCs/>
          <w:noProof/>
        </w:rPr>
        <w:t>Penelitian Gizi Dan Makanan (The Journal of Nutrition and Food Research)</w:t>
      </w:r>
      <w:r w:rsidRPr="00C4598C">
        <w:rPr>
          <w:rFonts w:ascii="Palatino Linotype" w:hAnsi="Palatino Linotype" w:cs="Times New Roman"/>
          <w:noProof/>
        </w:rPr>
        <w:t xml:space="preserve">, </w:t>
      </w:r>
      <w:r w:rsidRPr="00C4598C">
        <w:rPr>
          <w:rFonts w:ascii="Palatino Linotype" w:hAnsi="Palatino Linotype" w:cs="Times New Roman"/>
          <w:i/>
          <w:iCs/>
          <w:noProof/>
        </w:rPr>
        <w:t>42</w:t>
      </w:r>
      <w:r w:rsidRPr="00C4598C">
        <w:rPr>
          <w:rFonts w:ascii="Palatino Linotype" w:hAnsi="Palatino Linotype" w:cs="Times New Roman"/>
          <w:noProof/>
        </w:rPr>
        <w:t>(1), 21–28. https://doi.org/10.22435/pgm.v42i1.2418</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Confortin, S. C., Ono, L. M., Meneghini, V., Pastorio, A., Barbosa, A. R., &amp; D’Orsi, E. (2018). Factors associated with handgrip strength in older adults residents in Florianópolis, Brazil: EpiFloripa Aging Study. </w:t>
      </w:r>
      <w:r w:rsidRPr="00C4598C">
        <w:rPr>
          <w:rFonts w:ascii="Palatino Linotype" w:hAnsi="Palatino Linotype" w:cs="Times New Roman"/>
          <w:i/>
          <w:iCs/>
          <w:noProof/>
        </w:rPr>
        <w:t>Revista de Nutricao</w:t>
      </w:r>
      <w:r w:rsidRPr="00C4598C">
        <w:rPr>
          <w:rFonts w:ascii="Palatino Linotype" w:hAnsi="Palatino Linotype" w:cs="Times New Roman"/>
          <w:noProof/>
        </w:rPr>
        <w:t xml:space="preserve">, </w:t>
      </w:r>
      <w:r w:rsidRPr="00C4598C">
        <w:rPr>
          <w:rFonts w:ascii="Palatino Linotype" w:hAnsi="Palatino Linotype" w:cs="Times New Roman"/>
          <w:i/>
          <w:iCs/>
          <w:noProof/>
        </w:rPr>
        <w:t>31</w:t>
      </w:r>
      <w:r w:rsidRPr="00C4598C">
        <w:rPr>
          <w:rFonts w:ascii="Palatino Linotype" w:hAnsi="Palatino Linotype" w:cs="Times New Roman"/>
          <w:noProof/>
        </w:rPr>
        <w:t>(4), 385–395. https://doi.org/10.1590/1678-98652018000400004</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Fitriana, L. A., Ufamy, N., Anggadiredja, K., Amalia, L., Setiawan, S., &amp; Adnyana, I. K. (2020). Demographic Factors and Disease History Associated with Dementia among Elderly in Nursing Homes. </w:t>
      </w:r>
      <w:r w:rsidRPr="00C4598C">
        <w:rPr>
          <w:rFonts w:ascii="Palatino Linotype" w:hAnsi="Palatino Linotype" w:cs="Times New Roman"/>
          <w:i/>
          <w:iCs/>
          <w:noProof/>
        </w:rPr>
        <w:t>Jurnal Keperawatan Padjadjaran</w:t>
      </w:r>
      <w:r w:rsidRPr="00C4598C">
        <w:rPr>
          <w:rFonts w:ascii="Palatino Linotype" w:hAnsi="Palatino Linotype" w:cs="Times New Roman"/>
          <w:noProof/>
        </w:rPr>
        <w:t xml:space="preserve">, </w:t>
      </w:r>
      <w:r w:rsidRPr="00C4598C">
        <w:rPr>
          <w:rFonts w:ascii="Palatino Linotype" w:hAnsi="Palatino Linotype" w:cs="Times New Roman"/>
          <w:i/>
          <w:iCs/>
          <w:noProof/>
        </w:rPr>
        <w:t>8</w:t>
      </w:r>
      <w:r w:rsidRPr="00C4598C">
        <w:rPr>
          <w:rFonts w:ascii="Palatino Linotype" w:hAnsi="Palatino Linotype" w:cs="Times New Roman"/>
          <w:noProof/>
        </w:rPr>
        <w:t>(2). https://doi.org/10.24198/jkp.v8i2.1361</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Franke, A. L., &amp; Suplicy, H. (2007). </w:t>
      </w:r>
      <w:r w:rsidRPr="00C4598C">
        <w:rPr>
          <w:rFonts w:ascii="Palatino Linotype" w:hAnsi="Palatino Linotype" w:cs="Times New Roman"/>
          <w:i/>
          <w:iCs/>
          <w:noProof/>
        </w:rPr>
        <w:t>Metabolic syndrome</w:t>
      </w:r>
      <w:r w:rsidRPr="00C4598C">
        <w:rPr>
          <w:rFonts w:ascii="Palatino Linotype" w:hAnsi="Palatino Linotype" w:cs="Times New Roman"/>
          <w:noProof/>
        </w:rPr>
        <w:t xml:space="preserve">. </w:t>
      </w:r>
      <w:r w:rsidRPr="00C4598C">
        <w:rPr>
          <w:rFonts w:ascii="Palatino Linotype" w:hAnsi="Palatino Linotype" w:cs="Times New Roman"/>
          <w:i/>
          <w:iCs/>
          <w:noProof/>
        </w:rPr>
        <w:t>Revista Brasileira de Medicina</w:t>
      </w:r>
      <w:r w:rsidRPr="00C4598C">
        <w:rPr>
          <w:rFonts w:ascii="Palatino Linotype" w:hAnsi="Palatino Linotype" w:cs="Times New Roman"/>
          <w:noProof/>
        </w:rPr>
        <w:t xml:space="preserve"> (Vol. 64).</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Gray, C. A., Sims, O. T., &amp; Oh, H. (2020). Prevalence and Predictors of Co-occurring Hypertension and Depression Among Community-Dwelling Older Adults. </w:t>
      </w:r>
      <w:r w:rsidRPr="00C4598C">
        <w:rPr>
          <w:rFonts w:ascii="Palatino Linotype" w:hAnsi="Palatino Linotype" w:cs="Times New Roman"/>
          <w:i/>
          <w:iCs/>
          <w:noProof/>
        </w:rPr>
        <w:t>Journal of Racial and Ethnic Health Disparities</w:t>
      </w:r>
      <w:r w:rsidRPr="00C4598C">
        <w:rPr>
          <w:rFonts w:ascii="Palatino Linotype" w:hAnsi="Palatino Linotype" w:cs="Times New Roman"/>
          <w:noProof/>
        </w:rPr>
        <w:t xml:space="preserve">, </w:t>
      </w:r>
      <w:r w:rsidRPr="00C4598C">
        <w:rPr>
          <w:rFonts w:ascii="Palatino Linotype" w:hAnsi="Palatino Linotype" w:cs="Times New Roman"/>
          <w:i/>
          <w:iCs/>
          <w:noProof/>
        </w:rPr>
        <w:t>7</w:t>
      </w:r>
      <w:r w:rsidRPr="00C4598C">
        <w:rPr>
          <w:rFonts w:ascii="Palatino Linotype" w:hAnsi="Palatino Linotype" w:cs="Times New Roman"/>
          <w:noProof/>
        </w:rPr>
        <w:t>(2), 365–373. https://doi.org/10.1007/s40615-019-00665-x</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Halaweh, H., Dahlin-Ivanoff, S., Svantesson, U., &amp; Willén, C. (2018). Perspectives of older adults on aging well: A focus group study. </w:t>
      </w:r>
      <w:r w:rsidRPr="00C4598C">
        <w:rPr>
          <w:rFonts w:ascii="Palatino Linotype" w:hAnsi="Palatino Linotype" w:cs="Times New Roman"/>
          <w:i/>
          <w:iCs/>
          <w:noProof/>
        </w:rPr>
        <w:t>Journal of Aging Research</w:t>
      </w:r>
      <w:r w:rsidRPr="00C4598C">
        <w:rPr>
          <w:rFonts w:ascii="Palatino Linotype" w:hAnsi="Palatino Linotype" w:cs="Times New Roman"/>
          <w:noProof/>
        </w:rPr>
        <w:t xml:space="preserve">, </w:t>
      </w:r>
      <w:r w:rsidRPr="00C4598C">
        <w:rPr>
          <w:rFonts w:ascii="Palatino Linotype" w:hAnsi="Palatino Linotype" w:cs="Times New Roman"/>
          <w:i/>
          <w:iCs/>
          <w:noProof/>
        </w:rPr>
        <w:t>2018</w:t>
      </w:r>
      <w:r w:rsidRPr="00C4598C">
        <w:rPr>
          <w:rFonts w:ascii="Palatino Linotype" w:hAnsi="Palatino Linotype" w:cs="Times New Roman"/>
          <w:noProof/>
        </w:rPr>
        <w:t>. https://doi.org/10.1155/2018/9858252</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HealthyPeople.gov. (n.d.). older Adults new. Office of Disease Prevention and Health Promotion.</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II, A. M. A. (2018). </w:t>
      </w:r>
      <w:r w:rsidRPr="00C4598C">
        <w:rPr>
          <w:rFonts w:ascii="Palatino Linotype" w:hAnsi="Palatino Linotype" w:cs="Times New Roman"/>
          <w:i/>
          <w:iCs/>
          <w:noProof/>
        </w:rPr>
        <w:t>Physical activity guidelines for Americans</w:t>
      </w:r>
      <w:r w:rsidRPr="00C4598C">
        <w:rPr>
          <w:rFonts w:ascii="Palatino Linotype" w:hAnsi="Palatino Linotype" w:cs="Times New Roman"/>
          <w:noProof/>
        </w:rPr>
        <w:t xml:space="preserve">. </w:t>
      </w:r>
      <w:r w:rsidRPr="00C4598C">
        <w:rPr>
          <w:rFonts w:ascii="Palatino Linotype" w:hAnsi="Palatino Linotype" w:cs="Times New Roman"/>
          <w:i/>
          <w:iCs/>
          <w:noProof/>
        </w:rPr>
        <w:t>U.S.Departement of Health and Human Service</w:t>
      </w:r>
      <w:r w:rsidRPr="00C4598C">
        <w:rPr>
          <w:rFonts w:ascii="Palatino Linotype" w:hAnsi="Palatino Linotype" w:cs="Times New Roman"/>
          <w:noProof/>
        </w:rPr>
        <w:t xml:space="preserve"> (2nd ed.). USA. https://doi.org/10.1249/fit.0000000000000472</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Kim, S. Y., Lee, J. S., &amp; Kim, Y. H. (2020). Handgrip strength and current smoking are associated with cardiometabolic risk in korean adolescents: A population-based study. </w:t>
      </w:r>
      <w:r w:rsidRPr="00C4598C">
        <w:rPr>
          <w:rFonts w:ascii="Palatino Linotype" w:hAnsi="Palatino Linotype" w:cs="Times New Roman"/>
          <w:i/>
          <w:iCs/>
          <w:noProof/>
        </w:rPr>
        <w:t>International Journal of Environmental Research and Public Health</w:t>
      </w:r>
      <w:r w:rsidRPr="00C4598C">
        <w:rPr>
          <w:rFonts w:ascii="Palatino Linotype" w:hAnsi="Palatino Linotype" w:cs="Times New Roman"/>
          <w:noProof/>
        </w:rPr>
        <w:t xml:space="preserve">, </w:t>
      </w:r>
      <w:r w:rsidRPr="00C4598C">
        <w:rPr>
          <w:rFonts w:ascii="Palatino Linotype" w:hAnsi="Palatino Linotype" w:cs="Times New Roman"/>
          <w:i/>
          <w:iCs/>
          <w:noProof/>
        </w:rPr>
        <w:t>17</w:t>
      </w:r>
      <w:r w:rsidRPr="00C4598C">
        <w:rPr>
          <w:rFonts w:ascii="Palatino Linotype" w:hAnsi="Palatino Linotype" w:cs="Times New Roman"/>
          <w:noProof/>
        </w:rPr>
        <w:t>(14), 1–10. https://doi.org/10.3390/ijerph17145021</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Kristiana, T., Widajanti, N., &amp; Satyawati, R. (2020). Association between Muscle Mass and Muscle Strength with Physical Performance in Elderly in Surabaya. </w:t>
      </w:r>
      <w:r w:rsidRPr="00C4598C">
        <w:rPr>
          <w:rFonts w:ascii="Palatino Linotype" w:hAnsi="Palatino Linotype" w:cs="Times New Roman"/>
          <w:i/>
          <w:iCs/>
          <w:noProof/>
        </w:rPr>
        <w:t>Surabaya Physical Medicine and Rehabilitation Journal</w:t>
      </w:r>
      <w:r w:rsidRPr="00C4598C">
        <w:rPr>
          <w:rFonts w:ascii="Palatino Linotype" w:hAnsi="Palatino Linotype" w:cs="Times New Roman"/>
          <w:noProof/>
        </w:rPr>
        <w:t xml:space="preserve">, </w:t>
      </w:r>
      <w:r w:rsidRPr="00C4598C">
        <w:rPr>
          <w:rFonts w:ascii="Palatino Linotype" w:hAnsi="Palatino Linotype" w:cs="Times New Roman"/>
          <w:i/>
          <w:iCs/>
          <w:noProof/>
        </w:rPr>
        <w:t>2</w:t>
      </w:r>
      <w:r w:rsidRPr="00C4598C">
        <w:rPr>
          <w:rFonts w:ascii="Palatino Linotype" w:hAnsi="Palatino Linotype" w:cs="Times New Roman"/>
          <w:noProof/>
        </w:rPr>
        <w:t>(1), 24. https://doi.org/10.20473/spmrj.v2i1.2020.24-34</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Makizako, H., Kubozono, T., Kiyama, R., Takenaka, T., Kuwahata, S., Tabira, T., … Ohishi, M. (2019). Associations of social frailty with loss of muscle mass and muscle weakness among community-dwelling older adults. </w:t>
      </w:r>
      <w:r w:rsidRPr="00C4598C">
        <w:rPr>
          <w:rFonts w:ascii="Palatino Linotype" w:hAnsi="Palatino Linotype" w:cs="Times New Roman"/>
          <w:i/>
          <w:iCs/>
          <w:noProof/>
        </w:rPr>
        <w:t>Geriatrics and Gerontology International</w:t>
      </w:r>
      <w:r w:rsidRPr="00C4598C">
        <w:rPr>
          <w:rFonts w:ascii="Palatino Linotype" w:hAnsi="Palatino Linotype" w:cs="Times New Roman"/>
          <w:noProof/>
        </w:rPr>
        <w:t xml:space="preserve">, </w:t>
      </w:r>
      <w:r w:rsidRPr="00C4598C">
        <w:rPr>
          <w:rFonts w:ascii="Palatino Linotype" w:hAnsi="Palatino Linotype" w:cs="Times New Roman"/>
          <w:i/>
          <w:iCs/>
          <w:noProof/>
        </w:rPr>
        <w:t>19</w:t>
      </w:r>
      <w:r w:rsidRPr="00C4598C">
        <w:rPr>
          <w:rFonts w:ascii="Palatino Linotype" w:hAnsi="Palatino Linotype" w:cs="Times New Roman"/>
          <w:noProof/>
        </w:rPr>
        <w:t>(1), 76–80. https://doi.org/10.1111/ggi.13571</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McGrath, R., Johnson, N., Klawitter, L., Mahoney, S., Trautman, K., Carlson, C., … Hackney, K. J. (2020). What are the association patterns between handgrip strength and adverse health conditions? A topical review. </w:t>
      </w:r>
      <w:r w:rsidRPr="00C4598C">
        <w:rPr>
          <w:rFonts w:ascii="Palatino Linotype" w:hAnsi="Palatino Linotype" w:cs="Times New Roman"/>
          <w:i/>
          <w:iCs/>
          <w:noProof/>
        </w:rPr>
        <w:t>SAGE Open Medicine</w:t>
      </w:r>
      <w:r w:rsidRPr="00C4598C">
        <w:rPr>
          <w:rFonts w:ascii="Palatino Linotype" w:hAnsi="Palatino Linotype" w:cs="Times New Roman"/>
          <w:noProof/>
        </w:rPr>
        <w:t xml:space="preserve">, </w:t>
      </w:r>
      <w:r w:rsidRPr="00C4598C">
        <w:rPr>
          <w:rFonts w:ascii="Palatino Linotype" w:hAnsi="Palatino Linotype" w:cs="Times New Roman"/>
          <w:i/>
          <w:iCs/>
          <w:noProof/>
        </w:rPr>
        <w:t>8</w:t>
      </w:r>
      <w:r w:rsidRPr="00C4598C">
        <w:rPr>
          <w:rFonts w:ascii="Palatino Linotype" w:hAnsi="Palatino Linotype" w:cs="Times New Roman"/>
          <w:noProof/>
        </w:rPr>
        <w:t>, 205031212091035. https://doi.org/10.1177/2050312120910358</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McGrath, R. P., Kraemer, W. J., Snih, S. Al, &amp; Peterson, M. D. (2018). Handgrip Strength and Health in Aging Adults. </w:t>
      </w:r>
      <w:r w:rsidRPr="00C4598C">
        <w:rPr>
          <w:rFonts w:ascii="Palatino Linotype" w:hAnsi="Palatino Linotype" w:cs="Times New Roman"/>
          <w:i/>
          <w:iCs/>
          <w:noProof/>
        </w:rPr>
        <w:t>Sports Medicine</w:t>
      </w:r>
      <w:r w:rsidRPr="00C4598C">
        <w:rPr>
          <w:rFonts w:ascii="Palatino Linotype" w:hAnsi="Palatino Linotype" w:cs="Times New Roman"/>
          <w:noProof/>
        </w:rPr>
        <w:t xml:space="preserve">, </w:t>
      </w:r>
      <w:r w:rsidRPr="00C4598C">
        <w:rPr>
          <w:rFonts w:ascii="Palatino Linotype" w:hAnsi="Palatino Linotype" w:cs="Times New Roman"/>
          <w:i/>
          <w:iCs/>
          <w:noProof/>
        </w:rPr>
        <w:t>48</w:t>
      </w:r>
      <w:r w:rsidRPr="00C4598C">
        <w:rPr>
          <w:rFonts w:ascii="Palatino Linotype" w:hAnsi="Palatino Linotype" w:cs="Times New Roman"/>
          <w:noProof/>
        </w:rPr>
        <w:t>(9). https://doi.org/10.1007/s40279-018-0952-y</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Merchant, R. A., Chan, Y. H., Lim, J. Y., &amp; Emorley, J. (2020). Prevalence of metabolic syndrome and association with grip strength in older adults: Findings from the hope study. </w:t>
      </w:r>
      <w:r w:rsidRPr="00C4598C">
        <w:rPr>
          <w:rFonts w:ascii="Palatino Linotype" w:hAnsi="Palatino Linotype" w:cs="Times New Roman"/>
          <w:i/>
          <w:iCs/>
          <w:noProof/>
        </w:rPr>
        <w:t>Diabetes, Metabolic Syndrome and Obesity: Targets and Therapy</w:t>
      </w:r>
      <w:r w:rsidRPr="00C4598C">
        <w:rPr>
          <w:rFonts w:ascii="Palatino Linotype" w:hAnsi="Palatino Linotype" w:cs="Times New Roman"/>
          <w:noProof/>
        </w:rPr>
        <w:t xml:space="preserve">, </w:t>
      </w:r>
      <w:r w:rsidRPr="00C4598C">
        <w:rPr>
          <w:rFonts w:ascii="Palatino Linotype" w:hAnsi="Palatino Linotype" w:cs="Times New Roman"/>
          <w:i/>
          <w:iCs/>
          <w:noProof/>
        </w:rPr>
        <w:t>13</w:t>
      </w:r>
      <w:r w:rsidRPr="00C4598C">
        <w:rPr>
          <w:rFonts w:ascii="Palatino Linotype" w:hAnsi="Palatino Linotype" w:cs="Times New Roman"/>
          <w:noProof/>
        </w:rPr>
        <w:t>, 2677–2686. https://doi.org/10.2147/DMSO.S260544</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Mesinovic, J., McMillan, L., Shore-Lorenti, C., De Courten, B., Ebeling, P., &amp; Scott, D. (2019). Metabolic Syndrome and Its Associations with Components of Sarcopenia in Overweight and Obese Older Adults. </w:t>
      </w:r>
      <w:r w:rsidRPr="00C4598C">
        <w:rPr>
          <w:rFonts w:ascii="Palatino Linotype" w:hAnsi="Palatino Linotype" w:cs="Times New Roman"/>
          <w:i/>
          <w:iCs/>
          <w:noProof/>
        </w:rPr>
        <w:t>Journal of Clinical Medicine</w:t>
      </w:r>
      <w:r w:rsidRPr="00C4598C">
        <w:rPr>
          <w:rFonts w:ascii="Palatino Linotype" w:hAnsi="Palatino Linotype" w:cs="Times New Roman"/>
          <w:noProof/>
        </w:rPr>
        <w:t xml:space="preserve">, </w:t>
      </w:r>
      <w:r w:rsidRPr="00C4598C">
        <w:rPr>
          <w:rFonts w:ascii="Palatino Linotype" w:hAnsi="Palatino Linotype" w:cs="Times New Roman"/>
          <w:i/>
          <w:iCs/>
          <w:noProof/>
        </w:rPr>
        <w:t>8</w:t>
      </w:r>
      <w:r w:rsidRPr="00C4598C">
        <w:rPr>
          <w:rFonts w:ascii="Palatino Linotype" w:hAnsi="Palatino Linotype" w:cs="Times New Roman"/>
          <w:noProof/>
        </w:rPr>
        <w:t>(2), 145. https://doi.org/10.3390/jcm8020145</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Montes, M. C., Bortolotto, C. C., Tomasi, E., Gonzalez, M. C., Barbosa-Silva, T. G., Domingues, M. R., &amp; Bielemann, R. M. (2020). Strength and multimorbidity among community-dwelling elderly from southern Brazil. </w:t>
      </w:r>
      <w:r w:rsidRPr="00C4598C">
        <w:rPr>
          <w:rFonts w:ascii="Palatino Linotype" w:hAnsi="Palatino Linotype" w:cs="Times New Roman"/>
          <w:i/>
          <w:iCs/>
          <w:noProof/>
        </w:rPr>
        <w:t>Nutrition</w:t>
      </w:r>
      <w:r w:rsidRPr="00C4598C">
        <w:rPr>
          <w:rFonts w:ascii="Palatino Linotype" w:hAnsi="Palatino Linotype" w:cs="Times New Roman"/>
          <w:noProof/>
        </w:rPr>
        <w:t xml:space="preserve">, </w:t>
      </w:r>
      <w:r w:rsidRPr="00C4598C">
        <w:rPr>
          <w:rFonts w:ascii="Palatino Linotype" w:hAnsi="Palatino Linotype" w:cs="Times New Roman"/>
          <w:i/>
          <w:iCs/>
          <w:noProof/>
        </w:rPr>
        <w:t>71</w:t>
      </w:r>
      <w:r w:rsidRPr="00C4598C">
        <w:rPr>
          <w:rFonts w:ascii="Palatino Linotype" w:hAnsi="Palatino Linotype" w:cs="Times New Roman"/>
          <w:noProof/>
        </w:rPr>
        <w:t>. https://doi.org/10.1016/j.nut.2019.110636</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Nations, U. (2019). World Population Ageing 2019. the United Nations.</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Ng, C. W. L., Luo, N., &amp; Heng, B. H. (2014). Health status profiles in community-dwelling elderly using self-reported health indicators: a latent class analysis. </w:t>
      </w:r>
      <w:r w:rsidRPr="00C4598C">
        <w:rPr>
          <w:rFonts w:ascii="Palatino Linotype" w:hAnsi="Palatino Linotype" w:cs="Times New Roman"/>
          <w:i/>
          <w:iCs/>
          <w:noProof/>
        </w:rPr>
        <w:t>Quality of Life Research</w:t>
      </w:r>
      <w:r w:rsidRPr="00C4598C">
        <w:rPr>
          <w:rFonts w:ascii="Palatino Linotype" w:hAnsi="Palatino Linotype" w:cs="Times New Roman"/>
          <w:noProof/>
        </w:rPr>
        <w:t xml:space="preserve">, </w:t>
      </w:r>
      <w:r w:rsidRPr="00C4598C">
        <w:rPr>
          <w:rFonts w:ascii="Palatino Linotype" w:hAnsi="Palatino Linotype" w:cs="Times New Roman"/>
          <w:i/>
          <w:iCs/>
          <w:noProof/>
        </w:rPr>
        <w:t>23</w:t>
      </w:r>
      <w:r w:rsidRPr="00C4598C">
        <w:rPr>
          <w:rFonts w:ascii="Palatino Linotype" w:hAnsi="Palatino Linotype" w:cs="Times New Roman"/>
          <w:noProof/>
        </w:rPr>
        <w:t>(10), 2889–2898. https://doi.org/10.1007/s11136-014-0723-7</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Nurulistyawan Tri Purnanto, S. K. (2018). Hubungan antara usia, jenis kelamin, pendidikan dan pekerjaan dengan Activity Daily Living (ADL) pada lansia di Puskesmas Gribig Kabupaten Kudus. </w:t>
      </w:r>
      <w:r w:rsidRPr="00C4598C">
        <w:rPr>
          <w:rFonts w:ascii="Palatino Linotype" w:hAnsi="Palatino Linotype" w:cs="Times New Roman"/>
          <w:i/>
          <w:iCs/>
          <w:noProof/>
        </w:rPr>
        <w:t>THE SHINE CAHAYA DUNIA D-III KEPERAWATAN</w:t>
      </w:r>
      <w:r w:rsidRPr="00C4598C">
        <w:rPr>
          <w:rFonts w:ascii="Palatino Linotype" w:hAnsi="Palatino Linotype" w:cs="Times New Roman"/>
          <w:noProof/>
        </w:rPr>
        <w:t xml:space="preserve">, </w:t>
      </w:r>
      <w:r w:rsidRPr="00C4598C">
        <w:rPr>
          <w:rFonts w:ascii="Palatino Linotype" w:hAnsi="Palatino Linotype" w:cs="Times New Roman"/>
          <w:i/>
          <w:iCs/>
          <w:noProof/>
        </w:rPr>
        <w:t>3</w:t>
      </w:r>
      <w:r w:rsidRPr="00C4598C">
        <w:rPr>
          <w:rFonts w:ascii="Palatino Linotype" w:hAnsi="Palatino Linotype" w:cs="Times New Roman"/>
          <w:noProof/>
        </w:rPr>
        <w:t>(1), 47–53.</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Ong, H. L., Abdin, E., Chua, B. Y., Zhang, Y., Seow, E., Vaingankar, J. A., … Subramaniam, M. (2017). Hand-grip strength among older adults in Singapore: A comparison with international norms and associative factors. </w:t>
      </w:r>
      <w:r w:rsidRPr="00C4598C">
        <w:rPr>
          <w:rFonts w:ascii="Palatino Linotype" w:hAnsi="Palatino Linotype" w:cs="Times New Roman"/>
          <w:i/>
          <w:iCs/>
          <w:noProof/>
        </w:rPr>
        <w:t>BMC Geriatrics</w:t>
      </w:r>
      <w:r w:rsidRPr="00C4598C">
        <w:rPr>
          <w:rFonts w:ascii="Palatino Linotype" w:hAnsi="Palatino Linotype" w:cs="Times New Roman"/>
          <w:noProof/>
        </w:rPr>
        <w:t xml:space="preserve">, </w:t>
      </w:r>
      <w:r w:rsidRPr="00C4598C">
        <w:rPr>
          <w:rFonts w:ascii="Palatino Linotype" w:hAnsi="Palatino Linotype" w:cs="Times New Roman"/>
          <w:i/>
          <w:iCs/>
          <w:noProof/>
        </w:rPr>
        <w:t>17</w:t>
      </w:r>
      <w:r w:rsidRPr="00C4598C">
        <w:rPr>
          <w:rFonts w:ascii="Palatino Linotype" w:hAnsi="Palatino Linotype" w:cs="Times New Roman"/>
          <w:noProof/>
        </w:rPr>
        <w:t>(1), 1–11. https://doi.org/10.1186/s12877-017-0565-6</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Saad, M. A. N., Cardoso, G. P., Martins, W. de A., Velarde, L. G. C., &amp; da Cruz Filho, R. A. (2014). Prevalência de síndrome metabólica em idosos e concordância entre quatro critérios. </w:t>
      </w:r>
      <w:r w:rsidRPr="00C4598C">
        <w:rPr>
          <w:rFonts w:ascii="Palatino Linotype" w:hAnsi="Palatino Linotype" w:cs="Times New Roman"/>
          <w:i/>
          <w:iCs/>
          <w:noProof/>
        </w:rPr>
        <w:t>Arquivos Brasileiros de Cardiologia</w:t>
      </w:r>
      <w:r w:rsidRPr="00C4598C">
        <w:rPr>
          <w:rFonts w:ascii="Palatino Linotype" w:hAnsi="Palatino Linotype" w:cs="Times New Roman"/>
          <w:noProof/>
        </w:rPr>
        <w:t xml:space="preserve">, </w:t>
      </w:r>
      <w:r w:rsidRPr="00C4598C">
        <w:rPr>
          <w:rFonts w:ascii="Palatino Linotype" w:hAnsi="Palatino Linotype" w:cs="Times New Roman"/>
          <w:i/>
          <w:iCs/>
          <w:noProof/>
        </w:rPr>
        <w:t>102</w:t>
      </w:r>
      <w:r w:rsidRPr="00C4598C">
        <w:rPr>
          <w:rFonts w:ascii="Palatino Linotype" w:hAnsi="Palatino Linotype" w:cs="Times New Roman"/>
          <w:noProof/>
        </w:rPr>
        <w:t>(3), 263–269. https://doi.org/10.5935/abc.20140013</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Song, P., Zhang, Y., Wang, Y., Han, P., Fu, L., Chen, X., … Guo, Q. (2020). Clinical relevance of different handgrip strength indexes and metabolic syndrome in Chinese community-dwelling elderly individuals. </w:t>
      </w:r>
      <w:r w:rsidRPr="00C4598C">
        <w:rPr>
          <w:rFonts w:ascii="Palatino Linotype" w:hAnsi="Palatino Linotype" w:cs="Times New Roman"/>
          <w:i/>
          <w:iCs/>
          <w:noProof/>
        </w:rPr>
        <w:t>Archives of Gerontology and Geriatrics</w:t>
      </w:r>
      <w:r w:rsidRPr="00C4598C">
        <w:rPr>
          <w:rFonts w:ascii="Palatino Linotype" w:hAnsi="Palatino Linotype" w:cs="Times New Roman"/>
          <w:noProof/>
        </w:rPr>
        <w:t xml:space="preserve">, </w:t>
      </w:r>
      <w:r w:rsidRPr="00C4598C">
        <w:rPr>
          <w:rFonts w:ascii="Palatino Linotype" w:hAnsi="Palatino Linotype" w:cs="Times New Roman"/>
          <w:i/>
          <w:iCs/>
          <w:noProof/>
        </w:rPr>
        <w:t>87</w:t>
      </w:r>
      <w:r w:rsidRPr="00C4598C">
        <w:rPr>
          <w:rFonts w:ascii="Palatino Linotype" w:hAnsi="Palatino Linotype" w:cs="Times New Roman"/>
          <w:noProof/>
        </w:rPr>
        <w:t>, 8–9. https://doi.org/10.1016/j.archger.2020.104010</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Sumandar, Yesi Septina Wati, A. S. O. R. (2020). The Anxiety Among Menopause Period</w:t>
      </w:r>
      <w:r w:rsidRPr="00C4598C">
        <w:rPr>
          <w:rFonts w:ascii="Times New Roman" w:hAnsi="Times New Roman" w:cs="Times New Roman"/>
          <w:noProof/>
        </w:rPr>
        <w:t> </w:t>
      </w:r>
      <w:r w:rsidRPr="00C4598C">
        <w:rPr>
          <w:rFonts w:ascii="Palatino Linotype" w:hAnsi="Palatino Linotype" w:cs="Times New Roman"/>
          <w:noProof/>
        </w:rPr>
        <w:t xml:space="preserve">: Study About Level , Precipitation Factors And Coping Mechanism. </w:t>
      </w:r>
      <w:r w:rsidRPr="00C4598C">
        <w:rPr>
          <w:rFonts w:ascii="Palatino Linotype" w:hAnsi="Palatino Linotype" w:cs="Times New Roman"/>
          <w:i/>
          <w:iCs/>
          <w:noProof/>
        </w:rPr>
        <w:t>Enudrance</w:t>
      </w:r>
      <w:r w:rsidRPr="00C4598C">
        <w:rPr>
          <w:rFonts w:ascii="Palatino Linotype" w:hAnsi="Palatino Linotype" w:cs="Times New Roman"/>
          <w:noProof/>
        </w:rPr>
        <w:t xml:space="preserve">, </w:t>
      </w:r>
      <w:r w:rsidRPr="00C4598C">
        <w:rPr>
          <w:rFonts w:ascii="Palatino Linotype" w:hAnsi="Palatino Linotype" w:cs="Times New Roman"/>
          <w:i/>
          <w:iCs/>
          <w:noProof/>
        </w:rPr>
        <w:t>3</w:t>
      </w:r>
      <w:r w:rsidRPr="00C4598C">
        <w:rPr>
          <w:rFonts w:ascii="Palatino Linotype" w:hAnsi="Palatino Linotype" w:cs="Times New Roman"/>
          <w:noProof/>
        </w:rPr>
        <w:t>(3), 227–232. https://doi.org/10.22216/jen.v5i2.4802</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Sumandar. (2018). PREDICTORS OF PREDIABETIC INSIDENCE AMONG ELDERLY IN KERITANG. </w:t>
      </w:r>
      <w:r w:rsidRPr="00C4598C">
        <w:rPr>
          <w:rFonts w:ascii="Palatino Linotype" w:hAnsi="Palatino Linotype" w:cs="Times New Roman"/>
          <w:i/>
          <w:iCs/>
          <w:noProof/>
        </w:rPr>
        <w:t>Jurnal Keperawatan Soedirman</w:t>
      </w:r>
      <w:r w:rsidRPr="00C4598C">
        <w:rPr>
          <w:rFonts w:ascii="Palatino Linotype" w:hAnsi="Palatino Linotype" w:cs="Times New Roman"/>
          <w:noProof/>
        </w:rPr>
        <w:t xml:space="preserve">, </w:t>
      </w:r>
      <w:r w:rsidRPr="00C4598C">
        <w:rPr>
          <w:rFonts w:ascii="Palatino Linotype" w:hAnsi="Palatino Linotype" w:cs="Times New Roman"/>
          <w:i/>
          <w:iCs/>
          <w:noProof/>
        </w:rPr>
        <w:t>13</w:t>
      </w:r>
      <w:r w:rsidRPr="00C4598C">
        <w:rPr>
          <w:rFonts w:ascii="Palatino Linotype" w:hAnsi="Palatino Linotype" w:cs="Times New Roman"/>
          <w:noProof/>
        </w:rPr>
        <w:t>(3), 138–145.</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Sumandar. (2019). Pengantar Keperawatan Gerontik dengan pendekatan Asuhan keperawatan. In N. F. Subekti (Ed.) (1st ed., pp. 1–146). Jogjakarta, Indonesia: Deepublish.</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Utumo, A. S. (2019). </w:t>
      </w:r>
      <w:r w:rsidRPr="00C4598C">
        <w:rPr>
          <w:rFonts w:ascii="Palatino Linotype" w:hAnsi="Palatino Linotype" w:cs="Times New Roman"/>
          <w:i/>
          <w:iCs/>
          <w:noProof/>
        </w:rPr>
        <w:t>Status kerja lansia Berdayaguna</w:t>
      </w:r>
      <w:r w:rsidRPr="00C4598C">
        <w:rPr>
          <w:rFonts w:ascii="Palatino Linotype" w:hAnsi="Palatino Linotype" w:cs="Times New Roman"/>
          <w:noProof/>
        </w:rPr>
        <w:t xml:space="preserve"> (1st ed.). Surabaya: Media Sahabat Cendikia.</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Van Ancum, J. M., Jonkman, N. H., Van Schoor, N. M., Tressel, E., Meskers, C. G. M., Pijnappels, M., &amp; Maier, A. B. (2018). Predictors of metabolic syndrome in community-dwelling older adults. </w:t>
      </w:r>
      <w:r w:rsidRPr="00C4598C">
        <w:rPr>
          <w:rFonts w:ascii="Palatino Linotype" w:hAnsi="Palatino Linotype" w:cs="Times New Roman"/>
          <w:i/>
          <w:iCs/>
          <w:noProof/>
        </w:rPr>
        <w:t>PLoS ONE</w:t>
      </w:r>
      <w:r w:rsidRPr="00C4598C">
        <w:rPr>
          <w:rFonts w:ascii="Palatino Linotype" w:hAnsi="Palatino Linotype" w:cs="Times New Roman"/>
          <w:noProof/>
        </w:rPr>
        <w:t xml:space="preserve">, </w:t>
      </w:r>
      <w:r w:rsidRPr="00C4598C">
        <w:rPr>
          <w:rFonts w:ascii="Palatino Linotype" w:hAnsi="Palatino Linotype" w:cs="Times New Roman"/>
          <w:i/>
          <w:iCs/>
          <w:noProof/>
        </w:rPr>
        <w:t>13</w:t>
      </w:r>
      <w:r w:rsidRPr="00C4598C">
        <w:rPr>
          <w:rFonts w:ascii="Palatino Linotype" w:hAnsi="Palatino Linotype" w:cs="Times New Roman"/>
          <w:noProof/>
        </w:rPr>
        <w:t>(10), 31–32. https://doi.org/10.1371/journal.pone.0206424</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Wagner, P. R., Ascenço, S., &amp; Wibelinger, L. M. (2014). Hand grip strength in the elderly with upper limbs pain. </w:t>
      </w:r>
      <w:r w:rsidRPr="00C4598C">
        <w:rPr>
          <w:rFonts w:ascii="Palatino Linotype" w:hAnsi="Palatino Linotype" w:cs="Times New Roman"/>
          <w:i/>
          <w:iCs/>
          <w:noProof/>
        </w:rPr>
        <w:t>Revista Dor</w:t>
      </w:r>
      <w:r w:rsidRPr="00C4598C">
        <w:rPr>
          <w:rFonts w:ascii="Palatino Linotype" w:hAnsi="Palatino Linotype" w:cs="Times New Roman"/>
          <w:noProof/>
        </w:rPr>
        <w:t xml:space="preserve">, </w:t>
      </w:r>
      <w:r w:rsidRPr="00C4598C">
        <w:rPr>
          <w:rFonts w:ascii="Palatino Linotype" w:hAnsi="Palatino Linotype" w:cs="Times New Roman"/>
          <w:i/>
          <w:iCs/>
          <w:noProof/>
        </w:rPr>
        <w:t>15</w:t>
      </w:r>
      <w:r w:rsidRPr="00C4598C">
        <w:rPr>
          <w:rFonts w:ascii="Palatino Linotype" w:hAnsi="Palatino Linotype" w:cs="Times New Roman"/>
          <w:noProof/>
        </w:rPr>
        <w:t>(3), 182–185. https://doi.org/10.5935/1806-0013.20140040</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Wearing, J., Konings, P., Stokes, M., &amp; de Bruin, E. D. (2018). Handgrip strength in old and oldest old Swiss adults – a cross-sectional study. </w:t>
      </w:r>
      <w:r w:rsidRPr="00C4598C">
        <w:rPr>
          <w:rFonts w:ascii="Palatino Linotype" w:hAnsi="Palatino Linotype" w:cs="Times New Roman"/>
          <w:i/>
          <w:iCs/>
          <w:noProof/>
        </w:rPr>
        <w:t>BMC Geriatrics</w:t>
      </w:r>
      <w:r w:rsidRPr="00C4598C">
        <w:rPr>
          <w:rFonts w:ascii="Palatino Linotype" w:hAnsi="Palatino Linotype" w:cs="Times New Roman"/>
          <w:noProof/>
        </w:rPr>
        <w:t xml:space="preserve">, </w:t>
      </w:r>
      <w:r w:rsidRPr="00C4598C">
        <w:rPr>
          <w:rFonts w:ascii="Palatino Linotype" w:hAnsi="Palatino Linotype" w:cs="Times New Roman"/>
          <w:i/>
          <w:iCs/>
          <w:noProof/>
        </w:rPr>
        <w:t>18</w:t>
      </w:r>
      <w:r w:rsidRPr="00C4598C">
        <w:rPr>
          <w:rFonts w:ascii="Palatino Linotype" w:hAnsi="Palatino Linotype" w:cs="Times New Roman"/>
          <w:noProof/>
        </w:rPr>
        <w:t>(1), 1–9. https://doi.org/10.1186/s12877-018-0959-0</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Wei‐Yun Chang,Kuei‐Min Chen,Meng‐Chin Chen, Li‐Yen Yang, H. (2020). Prevalence and demographic characteristics of high ‐ need community ‐ dwelling older adults in Taiwan. </w:t>
      </w:r>
      <w:r w:rsidRPr="00C4598C">
        <w:rPr>
          <w:rFonts w:ascii="Palatino Linotype" w:hAnsi="Palatino Linotype" w:cs="Times New Roman"/>
          <w:i/>
          <w:iCs/>
          <w:noProof/>
        </w:rPr>
        <w:t>Health and Social Care in the Community</w:t>
      </w:r>
      <w:r w:rsidRPr="00C4598C">
        <w:rPr>
          <w:rFonts w:ascii="Palatino Linotype" w:hAnsi="Palatino Linotype" w:cs="Times New Roman"/>
          <w:noProof/>
        </w:rPr>
        <w:t>.</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Yan, H., Zhang, M., Zhang, X., Xia, Y., Shen, T., Zhao, Z., … Wang, L. (2019). Study of epidemiological characteristics of metabolic syndrome and influencing factors in elderly people in China. </w:t>
      </w:r>
      <w:r w:rsidRPr="00C4598C">
        <w:rPr>
          <w:rFonts w:ascii="Palatino Linotype" w:hAnsi="Palatino Linotype" w:cs="Times New Roman"/>
          <w:i/>
          <w:iCs/>
          <w:noProof/>
        </w:rPr>
        <w:t>Chinese Journal of Endemiology</w:t>
      </w:r>
      <w:r w:rsidRPr="00C4598C">
        <w:rPr>
          <w:rFonts w:ascii="Palatino Linotype" w:hAnsi="Palatino Linotype" w:cs="Times New Roman"/>
          <w:noProof/>
        </w:rPr>
        <w:t xml:space="preserve">, </w:t>
      </w:r>
      <w:r w:rsidRPr="00C4598C">
        <w:rPr>
          <w:rFonts w:ascii="Palatino Linotype" w:hAnsi="Palatino Linotype" w:cs="Times New Roman"/>
          <w:i/>
          <w:iCs/>
          <w:noProof/>
        </w:rPr>
        <w:t>40</w:t>
      </w:r>
      <w:r w:rsidRPr="00C4598C">
        <w:rPr>
          <w:rFonts w:ascii="Palatino Linotype" w:hAnsi="Palatino Linotype" w:cs="Times New Roman"/>
          <w:noProof/>
        </w:rPr>
        <w:t>(3), 284–289. https://doi.org/10.3760/cma.j.issn.0254-6450.2019.03.006</w:t>
      </w:r>
    </w:p>
    <w:p w:rsidR="00C4598C" w:rsidRPr="00C4598C" w:rsidRDefault="00C4598C" w:rsidP="00C4598C">
      <w:pPr>
        <w:widowControl w:val="0"/>
        <w:autoSpaceDE w:val="0"/>
        <w:autoSpaceDN w:val="0"/>
        <w:adjustRightInd w:val="0"/>
        <w:spacing w:line="360" w:lineRule="auto"/>
        <w:ind w:left="480" w:hanging="480"/>
        <w:rPr>
          <w:rFonts w:ascii="Palatino Linotype" w:hAnsi="Palatino Linotype" w:cs="Times New Roman"/>
          <w:noProof/>
        </w:rPr>
      </w:pPr>
      <w:r w:rsidRPr="00C4598C">
        <w:rPr>
          <w:rFonts w:ascii="Palatino Linotype" w:hAnsi="Palatino Linotype" w:cs="Times New Roman"/>
          <w:noProof/>
        </w:rPr>
        <w:t xml:space="preserve">Zhang, Y., Miyai, N., Abe, K., Utsumi, M., Uematsu, Y., Terada, K., … Arita, M. (2020). Muscle mass reduction, low muscle strength, and their combination are associated with arterial stiffness in community-dwelling elderly population: the Wakayama Study. </w:t>
      </w:r>
      <w:r w:rsidRPr="00C4598C">
        <w:rPr>
          <w:rFonts w:ascii="Palatino Linotype" w:hAnsi="Palatino Linotype" w:cs="Times New Roman"/>
          <w:i/>
          <w:iCs/>
          <w:noProof/>
        </w:rPr>
        <w:t>Journal of Human Hypertension</w:t>
      </w:r>
      <w:r w:rsidRPr="00C4598C">
        <w:rPr>
          <w:rFonts w:ascii="Palatino Linotype" w:hAnsi="Palatino Linotype" w:cs="Times New Roman"/>
          <w:noProof/>
        </w:rPr>
        <w:t>, 0–1. https://doi.org/10.1038/s41371-020-0355-z</w:t>
      </w:r>
    </w:p>
    <w:p w:rsidR="004731AC" w:rsidRPr="00C4598C" w:rsidRDefault="00C4598C" w:rsidP="00C4598C">
      <w:pPr>
        <w:spacing w:line="240" w:lineRule="auto"/>
        <w:jc w:val="both"/>
        <w:rPr>
          <w:rFonts w:ascii="Palatino Linotype" w:hAnsi="Palatino Linotype"/>
          <w:noProof/>
          <w:lang w:val="en-GB" w:eastAsia="id-ID"/>
        </w:rPr>
      </w:pPr>
      <w:r w:rsidRPr="00C4598C">
        <w:rPr>
          <w:rFonts w:ascii="Palatino Linotype" w:hAnsi="Palatino Linotype" w:cs="Times New Roman"/>
          <w:lang w:val="en-ID"/>
        </w:rPr>
        <w:fldChar w:fldCharType="end"/>
      </w:r>
    </w:p>
    <w:p w:rsidR="004731AC" w:rsidRPr="00C4598C" w:rsidRDefault="004731AC" w:rsidP="004731AC">
      <w:pPr>
        <w:spacing w:line="240" w:lineRule="auto"/>
        <w:jc w:val="center"/>
        <w:rPr>
          <w:rFonts w:ascii="Palatino Linotype" w:hAnsi="Palatino Linotype" w:cs="Times New Roman"/>
          <w:b/>
          <w:lang w:val="en-ID"/>
        </w:rPr>
      </w:pPr>
    </w:p>
    <w:p w:rsidR="00B76F5F" w:rsidRPr="00C4598C" w:rsidRDefault="00B76F5F" w:rsidP="004731AC">
      <w:pPr>
        <w:jc w:val="both"/>
        <w:rPr>
          <w:rFonts w:ascii="Palatino Linotype" w:hAnsi="Palatino Linotype" w:cs="Times New Roman"/>
        </w:rPr>
      </w:pPr>
    </w:p>
    <w:sectPr w:rsidR="00B76F5F" w:rsidRPr="00C4598C" w:rsidSect="00C4598C">
      <w:pgSz w:w="12240" w:h="15840"/>
      <w:pgMar w:top="709"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FKai-SB">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15C6C"/>
    <w:multiLevelType w:val="multilevel"/>
    <w:tmpl w:val="FB48BDA0"/>
    <w:lvl w:ilvl="0">
      <w:start w:val="1"/>
      <w:numFmt w:val="upperRoman"/>
      <w:pStyle w:val="Heading1"/>
      <w:lvlText w:val="%1."/>
      <w:lvlJc w:val="left"/>
      <w:pPr>
        <w:ind w:left="454" w:hanging="454"/>
      </w:pPr>
      <w:rPr>
        <w:sz w:val="28"/>
        <w:szCs w:val="28"/>
      </w:rPr>
    </w:lvl>
    <w:lvl w:ilvl="1">
      <w:start w:val="1"/>
      <w:numFmt w:val="upperLetter"/>
      <w:pStyle w:val="Heading2"/>
      <w:lvlText w:val="%2."/>
      <w:lvlJc w:val="left"/>
      <w:pPr>
        <w:ind w:left="284" w:hanging="284"/>
      </w:pPr>
    </w:lvl>
    <w:lvl w:ilvl="2">
      <w:start w:val="1"/>
      <w:numFmt w:val="decimal"/>
      <w:pStyle w:val="Heading3"/>
      <w:lvlText w:val="%3)"/>
      <w:lvlJc w:val="left"/>
      <w:pPr>
        <w:ind w:left="284" w:hanging="284"/>
      </w:pPr>
    </w:lvl>
    <w:lvl w:ilvl="3">
      <w:start w:val="1"/>
      <w:numFmt w:val="lowerLetter"/>
      <w:pStyle w:val="Heading4"/>
      <w:lvlText w:val="%4)"/>
      <w:lvlJc w:val="left"/>
      <w:pPr>
        <w:ind w:left="567" w:hanging="283"/>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1AC"/>
    <w:rsid w:val="004731AC"/>
    <w:rsid w:val="007E4F86"/>
    <w:rsid w:val="009455A8"/>
    <w:rsid w:val="00AB7787"/>
    <w:rsid w:val="00B76F5F"/>
    <w:rsid w:val="00C4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1AC"/>
  </w:style>
  <w:style w:type="paragraph" w:styleId="Heading1">
    <w:name w:val="heading 1"/>
    <w:basedOn w:val="Normal"/>
    <w:next w:val="Normal"/>
    <w:link w:val="Heading1Char"/>
    <w:uiPriority w:val="9"/>
    <w:qFormat/>
    <w:rsid w:val="00C4598C"/>
    <w:pPr>
      <w:keepNext/>
      <w:keepLines/>
      <w:numPr>
        <w:numId w:val="1"/>
      </w:numPr>
      <w:spacing w:after="0" w:line="240" w:lineRule="auto"/>
      <w:outlineLvl w:val="0"/>
    </w:pPr>
    <w:rPr>
      <w:rFonts w:ascii="Times New Roman" w:eastAsiaTheme="majorEastAsia" w:hAnsi="Times New Roman" w:cstheme="majorBidi"/>
      <w:b/>
      <w:bCs/>
      <w:smallCaps/>
      <w:sz w:val="28"/>
      <w:szCs w:val="28"/>
      <w:lang w:val="id-ID" w:eastAsia="ja-JP"/>
    </w:rPr>
  </w:style>
  <w:style w:type="paragraph" w:styleId="Heading2">
    <w:name w:val="heading 2"/>
    <w:basedOn w:val="Normal"/>
    <w:next w:val="Normal"/>
    <w:link w:val="Heading2Char"/>
    <w:semiHidden/>
    <w:unhideWhenUsed/>
    <w:qFormat/>
    <w:rsid w:val="00C4598C"/>
    <w:pPr>
      <w:keepNext/>
      <w:keepLines/>
      <w:numPr>
        <w:ilvl w:val="1"/>
        <w:numId w:val="1"/>
      </w:numPr>
      <w:spacing w:after="0" w:line="240" w:lineRule="auto"/>
      <w:outlineLvl w:val="1"/>
    </w:pPr>
    <w:rPr>
      <w:rFonts w:ascii="Times New Roman" w:eastAsiaTheme="majorEastAsia" w:hAnsi="Times New Roman" w:cstheme="majorBidi"/>
      <w:b/>
      <w:bCs/>
      <w:szCs w:val="26"/>
      <w:lang w:val="id-ID" w:eastAsia="ja-JP"/>
    </w:rPr>
  </w:style>
  <w:style w:type="paragraph" w:styleId="Heading3">
    <w:name w:val="heading 3"/>
    <w:basedOn w:val="Normal"/>
    <w:next w:val="Normal"/>
    <w:link w:val="Heading3Char"/>
    <w:unhideWhenUsed/>
    <w:qFormat/>
    <w:rsid w:val="00C4598C"/>
    <w:pPr>
      <w:keepNext/>
      <w:keepLines/>
      <w:numPr>
        <w:ilvl w:val="2"/>
        <w:numId w:val="1"/>
      </w:numPr>
      <w:spacing w:after="0" w:line="240" w:lineRule="auto"/>
      <w:outlineLvl w:val="2"/>
    </w:pPr>
    <w:rPr>
      <w:rFonts w:ascii="Times New Roman" w:eastAsiaTheme="majorEastAsia" w:hAnsi="Times New Roman" w:cstheme="majorBidi"/>
      <w:bCs/>
      <w:i/>
      <w:szCs w:val="24"/>
      <w:lang w:val="id-ID" w:eastAsia="ja-JP"/>
    </w:rPr>
  </w:style>
  <w:style w:type="paragraph" w:styleId="Heading4">
    <w:name w:val="heading 4"/>
    <w:basedOn w:val="Normal"/>
    <w:next w:val="Normal"/>
    <w:link w:val="Heading4Char"/>
    <w:semiHidden/>
    <w:unhideWhenUsed/>
    <w:qFormat/>
    <w:rsid w:val="00C4598C"/>
    <w:pPr>
      <w:keepNext/>
      <w:numPr>
        <w:ilvl w:val="3"/>
        <w:numId w:val="1"/>
      </w:numPr>
      <w:spacing w:after="0" w:line="240" w:lineRule="auto"/>
      <w:outlineLvl w:val="3"/>
    </w:pPr>
    <w:rPr>
      <w:rFonts w:ascii="Times New Roman" w:eastAsia="Times New Roman" w:hAnsi="Times New Roman" w:cs="Times New Roman"/>
      <w:bCs/>
      <w:i/>
      <w:szCs w:val="28"/>
    </w:rPr>
  </w:style>
  <w:style w:type="paragraph" w:styleId="Heading5">
    <w:name w:val="heading 5"/>
    <w:basedOn w:val="Normal"/>
    <w:next w:val="Normal"/>
    <w:link w:val="Heading5Char"/>
    <w:semiHidden/>
    <w:unhideWhenUsed/>
    <w:qFormat/>
    <w:rsid w:val="00C4598C"/>
    <w:pPr>
      <w:keepNext/>
      <w:keepLines/>
      <w:numPr>
        <w:ilvl w:val="4"/>
        <w:numId w:val="1"/>
      </w:numPr>
      <w:spacing w:before="200" w:after="0" w:line="240" w:lineRule="auto"/>
      <w:jc w:val="both"/>
      <w:outlineLvl w:val="4"/>
    </w:pPr>
    <w:rPr>
      <w:rFonts w:asciiTheme="majorHAnsi" w:eastAsiaTheme="majorEastAsia" w:hAnsiTheme="majorHAnsi" w:cstheme="majorBidi"/>
      <w:color w:val="243F60" w:themeColor="accent1" w:themeShade="7F"/>
      <w:szCs w:val="24"/>
      <w:lang w:val="id-ID" w:eastAsia="ja-JP"/>
    </w:rPr>
  </w:style>
  <w:style w:type="paragraph" w:styleId="Heading6">
    <w:name w:val="heading 6"/>
    <w:basedOn w:val="Normal"/>
    <w:next w:val="Normal"/>
    <w:link w:val="Heading6Char"/>
    <w:semiHidden/>
    <w:unhideWhenUsed/>
    <w:qFormat/>
    <w:rsid w:val="00C4598C"/>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semiHidden/>
    <w:unhideWhenUsed/>
    <w:qFormat/>
    <w:rsid w:val="00C4598C"/>
    <w:pPr>
      <w:keepNext/>
      <w:keepLines/>
      <w:numPr>
        <w:ilvl w:val="6"/>
        <w:numId w:val="1"/>
      </w:numPr>
      <w:spacing w:before="200" w:after="0" w:line="240" w:lineRule="auto"/>
      <w:jc w:val="both"/>
      <w:outlineLvl w:val="6"/>
    </w:pPr>
    <w:rPr>
      <w:rFonts w:asciiTheme="majorHAnsi" w:eastAsiaTheme="majorEastAsia" w:hAnsiTheme="majorHAnsi" w:cstheme="majorBidi"/>
      <w:i/>
      <w:iCs/>
      <w:color w:val="404040" w:themeColor="text1" w:themeTint="BF"/>
      <w:szCs w:val="24"/>
      <w:lang w:val="id-ID" w:eastAsia="ja-JP"/>
    </w:rPr>
  </w:style>
  <w:style w:type="paragraph" w:styleId="Heading8">
    <w:name w:val="heading 8"/>
    <w:basedOn w:val="Normal"/>
    <w:next w:val="Normal"/>
    <w:link w:val="Heading8Char"/>
    <w:semiHidden/>
    <w:unhideWhenUsed/>
    <w:qFormat/>
    <w:rsid w:val="00C4598C"/>
    <w:pPr>
      <w:keepNext/>
      <w:keepLines/>
      <w:numPr>
        <w:ilvl w:val="7"/>
        <w:numId w:val="1"/>
      </w:numPr>
      <w:spacing w:before="200" w:after="0" w:line="240" w:lineRule="auto"/>
      <w:jc w:val="both"/>
      <w:outlineLvl w:val="7"/>
    </w:pPr>
    <w:rPr>
      <w:rFonts w:asciiTheme="majorHAnsi" w:eastAsiaTheme="majorEastAsia" w:hAnsiTheme="majorHAnsi" w:cstheme="majorBidi"/>
      <w:color w:val="404040" w:themeColor="text1" w:themeTint="BF"/>
      <w:sz w:val="20"/>
      <w:szCs w:val="20"/>
      <w:lang w:val="id-ID" w:eastAsia="ja-JP"/>
    </w:rPr>
  </w:style>
  <w:style w:type="paragraph" w:styleId="Heading9">
    <w:name w:val="heading 9"/>
    <w:basedOn w:val="Normal"/>
    <w:next w:val="Normal"/>
    <w:link w:val="Heading9Char"/>
    <w:uiPriority w:val="9"/>
    <w:semiHidden/>
    <w:unhideWhenUsed/>
    <w:qFormat/>
    <w:rsid w:val="00C4598C"/>
    <w:pPr>
      <w:keepNext/>
      <w:keepLines/>
      <w:numPr>
        <w:ilvl w:val="8"/>
        <w:numId w:val="1"/>
      </w:numPr>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31AC"/>
    <w:rPr>
      <w:color w:val="0000FF" w:themeColor="hyperlink"/>
      <w:u w:val="single"/>
    </w:rPr>
  </w:style>
  <w:style w:type="paragraph" w:styleId="HTMLPreformatted">
    <w:name w:val="HTML Preformatted"/>
    <w:basedOn w:val="Normal"/>
    <w:link w:val="HTMLPreformattedChar"/>
    <w:uiPriority w:val="99"/>
    <w:unhideWhenUsed/>
    <w:rsid w:val="007E4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E4F86"/>
    <w:rPr>
      <w:rFonts w:ascii="Courier New" w:eastAsia="Times New Roman" w:hAnsi="Courier New" w:cs="Courier New"/>
      <w:sz w:val="20"/>
      <w:szCs w:val="20"/>
    </w:rPr>
  </w:style>
  <w:style w:type="table" w:styleId="TableGrid">
    <w:name w:val="Table Grid"/>
    <w:basedOn w:val="TableNormal"/>
    <w:uiPriority w:val="59"/>
    <w:rsid w:val="007E4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598C"/>
    <w:rPr>
      <w:rFonts w:ascii="Times New Roman" w:eastAsiaTheme="majorEastAsia" w:hAnsi="Times New Roman" w:cstheme="majorBidi"/>
      <w:b/>
      <w:bCs/>
      <w:smallCaps/>
      <w:sz w:val="28"/>
      <w:szCs w:val="28"/>
      <w:lang w:val="id-ID" w:eastAsia="ja-JP"/>
    </w:rPr>
  </w:style>
  <w:style w:type="character" w:customStyle="1" w:styleId="Heading2Char">
    <w:name w:val="Heading 2 Char"/>
    <w:basedOn w:val="DefaultParagraphFont"/>
    <w:link w:val="Heading2"/>
    <w:semiHidden/>
    <w:rsid w:val="00C4598C"/>
    <w:rPr>
      <w:rFonts w:ascii="Times New Roman" w:eastAsiaTheme="majorEastAsia" w:hAnsi="Times New Roman" w:cstheme="majorBidi"/>
      <w:b/>
      <w:bCs/>
      <w:szCs w:val="26"/>
      <w:lang w:val="id-ID" w:eastAsia="ja-JP"/>
    </w:rPr>
  </w:style>
  <w:style w:type="character" w:customStyle="1" w:styleId="Heading3Char">
    <w:name w:val="Heading 3 Char"/>
    <w:basedOn w:val="DefaultParagraphFont"/>
    <w:link w:val="Heading3"/>
    <w:rsid w:val="00C4598C"/>
    <w:rPr>
      <w:rFonts w:ascii="Times New Roman" w:eastAsiaTheme="majorEastAsia" w:hAnsi="Times New Roman" w:cstheme="majorBidi"/>
      <w:bCs/>
      <w:i/>
      <w:szCs w:val="24"/>
      <w:lang w:val="id-ID" w:eastAsia="ja-JP"/>
    </w:rPr>
  </w:style>
  <w:style w:type="character" w:customStyle="1" w:styleId="Heading4Char">
    <w:name w:val="Heading 4 Char"/>
    <w:basedOn w:val="DefaultParagraphFont"/>
    <w:link w:val="Heading4"/>
    <w:semiHidden/>
    <w:rsid w:val="00C4598C"/>
    <w:rPr>
      <w:rFonts w:ascii="Times New Roman" w:eastAsia="Times New Roman" w:hAnsi="Times New Roman" w:cs="Times New Roman"/>
      <w:bCs/>
      <w:i/>
      <w:szCs w:val="28"/>
    </w:rPr>
  </w:style>
  <w:style w:type="character" w:customStyle="1" w:styleId="Heading5Char">
    <w:name w:val="Heading 5 Char"/>
    <w:basedOn w:val="DefaultParagraphFont"/>
    <w:link w:val="Heading5"/>
    <w:semiHidden/>
    <w:rsid w:val="00C4598C"/>
    <w:rPr>
      <w:rFonts w:asciiTheme="majorHAnsi" w:eastAsiaTheme="majorEastAsia" w:hAnsiTheme="majorHAnsi" w:cstheme="majorBidi"/>
      <w:color w:val="243F60" w:themeColor="accent1" w:themeShade="7F"/>
      <w:szCs w:val="24"/>
      <w:lang w:val="id-ID" w:eastAsia="ja-JP"/>
    </w:rPr>
  </w:style>
  <w:style w:type="character" w:customStyle="1" w:styleId="Heading6Char">
    <w:name w:val="Heading 6 Char"/>
    <w:basedOn w:val="DefaultParagraphFont"/>
    <w:link w:val="Heading6"/>
    <w:semiHidden/>
    <w:rsid w:val="00C4598C"/>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C4598C"/>
    <w:rPr>
      <w:rFonts w:asciiTheme="majorHAnsi" w:eastAsiaTheme="majorEastAsia" w:hAnsiTheme="majorHAnsi" w:cstheme="majorBidi"/>
      <w:i/>
      <w:iCs/>
      <w:color w:val="404040" w:themeColor="text1" w:themeTint="BF"/>
      <w:szCs w:val="24"/>
      <w:lang w:val="id-ID" w:eastAsia="ja-JP"/>
    </w:rPr>
  </w:style>
  <w:style w:type="character" w:customStyle="1" w:styleId="Heading8Char">
    <w:name w:val="Heading 8 Char"/>
    <w:basedOn w:val="DefaultParagraphFont"/>
    <w:link w:val="Heading8"/>
    <w:semiHidden/>
    <w:rsid w:val="00C4598C"/>
    <w:rPr>
      <w:rFonts w:asciiTheme="majorHAnsi" w:eastAsiaTheme="majorEastAsia" w:hAnsiTheme="majorHAnsi" w:cstheme="majorBidi"/>
      <w:color w:val="404040" w:themeColor="text1" w:themeTint="BF"/>
      <w:sz w:val="20"/>
      <w:szCs w:val="20"/>
      <w:lang w:val="id-ID" w:eastAsia="ja-JP"/>
    </w:rPr>
  </w:style>
  <w:style w:type="character" w:customStyle="1" w:styleId="Heading9Char">
    <w:name w:val="Heading 9 Char"/>
    <w:basedOn w:val="DefaultParagraphFont"/>
    <w:link w:val="Heading9"/>
    <w:uiPriority w:val="9"/>
    <w:semiHidden/>
    <w:rsid w:val="00C4598C"/>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1AC"/>
  </w:style>
  <w:style w:type="paragraph" w:styleId="Heading1">
    <w:name w:val="heading 1"/>
    <w:basedOn w:val="Normal"/>
    <w:next w:val="Normal"/>
    <w:link w:val="Heading1Char"/>
    <w:uiPriority w:val="9"/>
    <w:qFormat/>
    <w:rsid w:val="00C4598C"/>
    <w:pPr>
      <w:keepNext/>
      <w:keepLines/>
      <w:numPr>
        <w:numId w:val="1"/>
      </w:numPr>
      <w:spacing w:after="0" w:line="240" w:lineRule="auto"/>
      <w:outlineLvl w:val="0"/>
    </w:pPr>
    <w:rPr>
      <w:rFonts w:ascii="Times New Roman" w:eastAsiaTheme="majorEastAsia" w:hAnsi="Times New Roman" w:cstheme="majorBidi"/>
      <w:b/>
      <w:bCs/>
      <w:smallCaps/>
      <w:sz w:val="28"/>
      <w:szCs w:val="28"/>
      <w:lang w:val="id-ID" w:eastAsia="ja-JP"/>
    </w:rPr>
  </w:style>
  <w:style w:type="paragraph" w:styleId="Heading2">
    <w:name w:val="heading 2"/>
    <w:basedOn w:val="Normal"/>
    <w:next w:val="Normal"/>
    <w:link w:val="Heading2Char"/>
    <w:semiHidden/>
    <w:unhideWhenUsed/>
    <w:qFormat/>
    <w:rsid w:val="00C4598C"/>
    <w:pPr>
      <w:keepNext/>
      <w:keepLines/>
      <w:numPr>
        <w:ilvl w:val="1"/>
        <w:numId w:val="1"/>
      </w:numPr>
      <w:spacing w:after="0" w:line="240" w:lineRule="auto"/>
      <w:outlineLvl w:val="1"/>
    </w:pPr>
    <w:rPr>
      <w:rFonts w:ascii="Times New Roman" w:eastAsiaTheme="majorEastAsia" w:hAnsi="Times New Roman" w:cstheme="majorBidi"/>
      <w:b/>
      <w:bCs/>
      <w:szCs w:val="26"/>
      <w:lang w:val="id-ID" w:eastAsia="ja-JP"/>
    </w:rPr>
  </w:style>
  <w:style w:type="paragraph" w:styleId="Heading3">
    <w:name w:val="heading 3"/>
    <w:basedOn w:val="Normal"/>
    <w:next w:val="Normal"/>
    <w:link w:val="Heading3Char"/>
    <w:unhideWhenUsed/>
    <w:qFormat/>
    <w:rsid w:val="00C4598C"/>
    <w:pPr>
      <w:keepNext/>
      <w:keepLines/>
      <w:numPr>
        <w:ilvl w:val="2"/>
        <w:numId w:val="1"/>
      </w:numPr>
      <w:spacing w:after="0" w:line="240" w:lineRule="auto"/>
      <w:outlineLvl w:val="2"/>
    </w:pPr>
    <w:rPr>
      <w:rFonts w:ascii="Times New Roman" w:eastAsiaTheme="majorEastAsia" w:hAnsi="Times New Roman" w:cstheme="majorBidi"/>
      <w:bCs/>
      <w:i/>
      <w:szCs w:val="24"/>
      <w:lang w:val="id-ID" w:eastAsia="ja-JP"/>
    </w:rPr>
  </w:style>
  <w:style w:type="paragraph" w:styleId="Heading4">
    <w:name w:val="heading 4"/>
    <w:basedOn w:val="Normal"/>
    <w:next w:val="Normal"/>
    <w:link w:val="Heading4Char"/>
    <w:semiHidden/>
    <w:unhideWhenUsed/>
    <w:qFormat/>
    <w:rsid w:val="00C4598C"/>
    <w:pPr>
      <w:keepNext/>
      <w:numPr>
        <w:ilvl w:val="3"/>
        <w:numId w:val="1"/>
      </w:numPr>
      <w:spacing w:after="0" w:line="240" w:lineRule="auto"/>
      <w:outlineLvl w:val="3"/>
    </w:pPr>
    <w:rPr>
      <w:rFonts w:ascii="Times New Roman" w:eastAsia="Times New Roman" w:hAnsi="Times New Roman" w:cs="Times New Roman"/>
      <w:bCs/>
      <w:i/>
      <w:szCs w:val="28"/>
    </w:rPr>
  </w:style>
  <w:style w:type="paragraph" w:styleId="Heading5">
    <w:name w:val="heading 5"/>
    <w:basedOn w:val="Normal"/>
    <w:next w:val="Normal"/>
    <w:link w:val="Heading5Char"/>
    <w:semiHidden/>
    <w:unhideWhenUsed/>
    <w:qFormat/>
    <w:rsid w:val="00C4598C"/>
    <w:pPr>
      <w:keepNext/>
      <w:keepLines/>
      <w:numPr>
        <w:ilvl w:val="4"/>
        <w:numId w:val="1"/>
      </w:numPr>
      <w:spacing w:before="200" w:after="0" w:line="240" w:lineRule="auto"/>
      <w:jc w:val="both"/>
      <w:outlineLvl w:val="4"/>
    </w:pPr>
    <w:rPr>
      <w:rFonts w:asciiTheme="majorHAnsi" w:eastAsiaTheme="majorEastAsia" w:hAnsiTheme="majorHAnsi" w:cstheme="majorBidi"/>
      <w:color w:val="243F60" w:themeColor="accent1" w:themeShade="7F"/>
      <w:szCs w:val="24"/>
      <w:lang w:val="id-ID" w:eastAsia="ja-JP"/>
    </w:rPr>
  </w:style>
  <w:style w:type="paragraph" w:styleId="Heading6">
    <w:name w:val="heading 6"/>
    <w:basedOn w:val="Normal"/>
    <w:next w:val="Normal"/>
    <w:link w:val="Heading6Char"/>
    <w:semiHidden/>
    <w:unhideWhenUsed/>
    <w:qFormat/>
    <w:rsid w:val="00C4598C"/>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semiHidden/>
    <w:unhideWhenUsed/>
    <w:qFormat/>
    <w:rsid w:val="00C4598C"/>
    <w:pPr>
      <w:keepNext/>
      <w:keepLines/>
      <w:numPr>
        <w:ilvl w:val="6"/>
        <w:numId w:val="1"/>
      </w:numPr>
      <w:spacing w:before="200" w:after="0" w:line="240" w:lineRule="auto"/>
      <w:jc w:val="both"/>
      <w:outlineLvl w:val="6"/>
    </w:pPr>
    <w:rPr>
      <w:rFonts w:asciiTheme="majorHAnsi" w:eastAsiaTheme="majorEastAsia" w:hAnsiTheme="majorHAnsi" w:cstheme="majorBidi"/>
      <w:i/>
      <w:iCs/>
      <w:color w:val="404040" w:themeColor="text1" w:themeTint="BF"/>
      <w:szCs w:val="24"/>
      <w:lang w:val="id-ID" w:eastAsia="ja-JP"/>
    </w:rPr>
  </w:style>
  <w:style w:type="paragraph" w:styleId="Heading8">
    <w:name w:val="heading 8"/>
    <w:basedOn w:val="Normal"/>
    <w:next w:val="Normal"/>
    <w:link w:val="Heading8Char"/>
    <w:semiHidden/>
    <w:unhideWhenUsed/>
    <w:qFormat/>
    <w:rsid w:val="00C4598C"/>
    <w:pPr>
      <w:keepNext/>
      <w:keepLines/>
      <w:numPr>
        <w:ilvl w:val="7"/>
        <w:numId w:val="1"/>
      </w:numPr>
      <w:spacing w:before="200" w:after="0" w:line="240" w:lineRule="auto"/>
      <w:jc w:val="both"/>
      <w:outlineLvl w:val="7"/>
    </w:pPr>
    <w:rPr>
      <w:rFonts w:asciiTheme="majorHAnsi" w:eastAsiaTheme="majorEastAsia" w:hAnsiTheme="majorHAnsi" w:cstheme="majorBidi"/>
      <w:color w:val="404040" w:themeColor="text1" w:themeTint="BF"/>
      <w:sz w:val="20"/>
      <w:szCs w:val="20"/>
      <w:lang w:val="id-ID" w:eastAsia="ja-JP"/>
    </w:rPr>
  </w:style>
  <w:style w:type="paragraph" w:styleId="Heading9">
    <w:name w:val="heading 9"/>
    <w:basedOn w:val="Normal"/>
    <w:next w:val="Normal"/>
    <w:link w:val="Heading9Char"/>
    <w:uiPriority w:val="9"/>
    <w:semiHidden/>
    <w:unhideWhenUsed/>
    <w:qFormat/>
    <w:rsid w:val="00C4598C"/>
    <w:pPr>
      <w:keepNext/>
      <w:keepLines/>
      <w:numPr>
        <w:ilvl w:val="8"/>
        <w:numId w:val="1"/>
      </w:numPr>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31AC"/>
    <w:rPr>
      <w:color w:val="0000FF" w:themeColor="hyperlink"/>
      <w:u w:val="single"/>
    </w:rPr>
  </w:style>
  <w:style w:type="paragraph" w:styleId="HTMLPreformatted">
    <w:name w:val="HTML Preformatted"/>
    <w:basedOn w:val="Normal"/>
    <w:link w:val="HTMLPreformattedChar"/>
    <w:uiPriority w:val="99"/>
    <w:unhideWhenUsed/>
    <w:rsid w:val="007E4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E4F86"/>
    <w:rPr>
      <w:rFonts w:ascii="Courier New" w:eastAsia="Times New Roman" w:hAnsi="Courier New" w:cs="Courier New"/>
      <w:sz w:val="20"/>
      <w:szCs w:val="20"/>
    </w:rPr>
  </w:style>
  <w:style w:type="table" w:styleId="TableGrid">
    <w:name w:val="Table Grid"/>
    <w:basedOn w:val="TableNormal"/>
    <w:uiPriority w:val="59"/>
    <w:rsid w:val="007E4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598C"/>
    <w:rPr>
      <w:rFonts w:ascii="Times New Roman" w:eastAsiaTheme="majorEastAsia" w:hAnsi="Times New Roman" w:cstheme="majorBidi"/>
      <w:b/>
      <w:bCs/>
      <w:smallCaps/>
      <w:sz w:val="28"/>
      <w:szCs w:val="28"/>
      <w:lang w:val="id-ID" w:eastAsia="ja-JP"/>
    </w:rPr>
  </w:style>
  <w:style w:type="character" w:customStyle="1" w:styleId="Heading2Char">
    <w:name w:val="Heading 2 Char"/>
    <w:basedOn w:val="DefaultParagraphFont"/>
    <w:link w:val="Heading2"/>
    <w:semiHidden/>
    <w:rsid w:val="00C4598C"/>
    <w:rPr>
      <w:rFonts w:ascii="Times New Roman" w:eastAsiaTheme="majorEastAsia" w:hAnsi="Times New Roman" w:cstheme="majorBidi"/>
      <w:b/>
      <w:bCs/>
      <w:szCs w:val="26"/>
      <w:lang w:val="id-ID" w:eastAsia="ja-JP"/>
    </w:rPr>
  </w:style>
  <w:style w:type="character" w:customStyle="1" w:styleId="Heading3Char">
    <w:name w:val="Heading 3 Char"/>
    <w:basedOn w:val="DefaultParagraphFont"/>
    <w:link w:val="Heading3"/>
    <w:rsid w:val="00C4598C"/>
    <w:rPr>
      <w:rFonts w:ascii="Times New Roman" w:eastAsiaTheme="majorEastAsia" w:hAnsi="Times New Roman" w:cstheme="majorBidi"/>
      <w:bCs/>
      <w:i/>
      <w:szCs w:val="24"/>
      <w:lang w:val="id-ID" w:eastAsia="ja-JP"/>
    </w:rPr>
  </w:style>
  <w:style w:type="character" w:customStyle="1" w:styleId="Heading4Char">
    <w:name w:val="Heading 4 Char"/>
    <w:basedOn w:val="DefaultParagraphFont"/>
    <w:link w:val="Heading4"/>
    <w:semiHidden/>
    <w:rsid w:val="00C4598C"/>
    <w:rPr>
      <w:rFonts w:ascii="Times New Roman" w:eastAsia="Times New Roman" w:hAnsi="Times New Roman" w:cs="Times New Roman"/>
      <w:bCs/>
      <w:i/>
      <w:szCs w:val="28"/>
    </w:rPr>
  </w:style>
  <w:style w:type="character" w:customStyle="1" w:styleId="Heading5Char">
    <w:name w:val="Heading 5 Char"/>
    <w:basedOn w:val="DefaultParagraphFont"/>
    <w:link w:val="Heading5"/>
    <w:semiHidden/>
    <w:rsid w:val="00C4598C"/>
    <w:rPr>
      <w:rFonts w:asciiTheme="majorHAnsi" w:eastAsiaTheme="majorEastAsia" w:hAnsiTheme="majorHAnsi" w:cstheme="majorBidi"/>
      <w:color w:val="243F60" w:themeColor="accent1" w:themeShade="7F"/>
      <w:szCs w:val="24"/>
      <w:lang w:val="id-ID" w:eastAsia="ja-JP"/>
    </w:rPr>
  </w:style>
  <w:style w:type="character" w:customStyle="1" w:styleId="Heading6Char">
    <w:name w:val="Heading 6 Char"/>
    <w:basedOn w:val="DefaultParagraphFont"/>
    <w:link w:val="Heading6"/>
    <w:semiHidden/>
    <w:rsid w:val="00C4598C"/>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C4598C"/>
    <w:rPr>
      <w:rFonts w:asciiTheme="majorHAnsi" w:eastAsiaTheme="majorEastAsia" w:hAnsiTheme="majorHAnsi" w:cstheme="majorBidi"/>
      <w:i/>
      <w:iCs/>
      <w:color w:val="404040" w:themeColor="text1" w:themeTint="BF"/>
      <w:szCs w:val="24"/>
      <w:lang w:val="id-ID" w:eastAsia="ja-JP"/>
    </w:rPr>
  </w:style>
  <w:style w:type="character" w:customStyle="1" w:styleId="Heading8Char">
    <w:name w:val="Heading 8 Char"/>
    <w:basedOn w:val="DefaultParagraphFont"/>
    <w:link w:val="Heading8"/>
    <w:semiHidden/>
    <w:rsid w:val="00C4598C"/>
    <w:rPr>
      <w:rFonts w:asciiTheme="majorHAnsi" w:eastAsiaTheme="majorEastAsia" w:hAnsiTheme="majorHAnsi" w:cstheme="majorBidi"/>
      <w:color w:val="404040" w:themeColor="text1" w:themeTint="BF"/>
      <w:sz w:val="20"/>
      <w:szCs w:val="20"/>
      <w:lang w:val="id-ID" w:eastAsia="ja-JP"/>
    </w:rPr>
  </w:style>
  <w:style w:type="character" w:customStyle="1" w:styleId="Heading9Char">
    <w:name w:val="Heading 9 Char"/>
    <w:basedOn w:val="DefaultParagraphFont"/>
    <w:link w:val="Heading9"/>
    <w:uiPriority w:val="9"/>
    <w:semiHidden/>
    <w:rsid w:val="00C4598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mandar.05mangir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BD0656F-4407-4A37-880F-AE9AB4FF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17722</Words>
  <Characters>101019</Characters>
  <Application>Microsoft Office Word</Application>
  <DocSecurity>0</DocSecurity>
  <Lines>841</Lines>
  <Paragraphs>237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DISCUSSION</vt:lpstr>
    </vt:vector>
  </TitlesOfParts>
  <Company/>
  <LinksUpToDate>false</LinksUpToDate>
  <CharactersWithSpaces>118504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2020-10-23T12:37:00Z</dcterms:created>
  <dcterms:modified xsi:type="dcterms:W3CDTF">2020-10-23T13:32:00Z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0154e3ed-97b9-3b66-9787-e988d5a43343</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http://www.zotero.org/styles/elsevier-harvard</vt:lpwstr>
  </property>
  <property fmtid="{D5CDD505-2E9C-101B-9397-08002B2CF9AE}" pid="12" name="Mendeley Recent Style Name 3_1">
    <vt:lpwstr>Elsevier - Harvard (with titles)</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