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7E" w:rsidRPr="00FD6193" w:rsidRDefault="002D0E7E" w:rsidP="00D63E4B">
      <w:pPr>
        <w:spacing w:line="276" w:lineRule="auto"/>
        <w:jc w:val="center"/>
        <w:rPr>
          <w:b/>
        </w:rPr>
      </w:pPr>
      <w:r w:rsidRPr="00FD6193">
        <w:rPr>
          <w:b/>
        </w:rPr>
        <w:t xml:space="preserve">FARMERS’ WILLINGNESS TO ACCEPT A COMPENSATION TO PROTECT AGRICULTURAL LAND SUSTAINABILITY </w:t>
      </w:r>
    </w:p>
    <w:p w:rsidR="005214DD" w:rsidRDefault="002D0E7E" w:rsidP="00D63E4B">
      <w:pPr>
        <w:spacing w:line="276" w:lineRule="auto"/>
        <w:jc w:val="center"/>
        <w:rPr>
          <w:b/>
        </w:rPr>
      </w:pPr>
      <w:r w:rsidRPr="00FD6193">
        <w:rPr>
          <w:b/>
        </w:rPr>
        <w:t>IN PERI-URBAN AREAS OF PEKALONGAN CITY</w:t>
      </w:r>
    </w:p>
    <w:p w:rsidR="00E60569" w:rsidRDefault="00E60569" w:rsidP="00D63E4B">
      <w:pPr>
        <w:spacing w:line="276" w:lineRule="auto"/>
        <w:jc w:val="center"/>
        <w:rPr>
          <w:b/>
        </w:rPr>
      </w:pPr>
    </w:p>
    <w:p w:rsidR="0033511A" w:rsidRDefault="0033511A" w:rsidP="0033511A">
      <w:pPr>
        <w:spacing w:line="276" w:lineRule="auto"/>
        <w:jc w:val="center"/>
        <w:rPr>
          <w:b/>
        </w:rPr>
      </w:pPr>
      <w:r w:rsidRPr="0033511A">
        <w:rPr>
          <w:b/>
          <w:i/>
        </w:rPr>
        <w:t>WILLINGNESS TO ACCEPT</w:t>
      </w:r>
      <w:r>
        <w:rPr>
          <w:b/>
        </w:rPr>
        <w:t xml:space="preserve"> PETANI MENERIMA KOMPENSASI UNTUK MEMPERTAHANKAN KEBERLANJUTAN LAHAN PERTANIAN DI PINGGIRAN KOTA PEKALONGAN</w:t>
      </w:r>
    </w:p>
    <w:p w:rsidR="0033511A" w:rsidRDefault="0033511A" w:rsidP="00D63E4B">
      <w:pPr>
        <w:spacing w:line="276" w:lineRule="auto"/>
        <w:jc w:val="center"/>
        <w:rPr>
          <w:b/>
        </w:rPr>
      </w:pPr>
    </w:p>
    <w:p w:rsidR="00E60569" w:rsidRPr="002102B6" w:rsidRDefault="00E60569" w:rsidP="00D63E4B">
      <w:pPr>
        <w:spacing w:line="276" w:lineRule="auto"/>
        <w:jc w:val="center"/>
        <w:rPr>
          <w:sz w:val="22"/>
        </w:rPr>
      </w:pPr>
      <w:r w:rsidRPr="002102B6">
        <w:rPr>
          <w:sz w:val="22"/>
        </w:rPr>
        <w:t>Imade Yoga Prasada</w:t>
      </w:r>
      <w:r w:rsidRPr="002102B6">
        <w:rPr>
          <w:sz w:val="22"/>
          <w:vertAlign w:val="superscript"/>
        </w:rPr>
        <w:t>1</w:t>
      </w:r>
      <w:r w:rsidRPr="002102B6">
        <w:rPr>
          <w:sz w:val="22"/>
        </w:rPr>
        <w:t>, Masyhuri</w:t>
      </w:r>
      <w:r w:rsidRPr="002102B6">
        <w:rPr>
          <w:sz w:val="22"/>
          <w:vertAlign w:val="superscript"/>
        </w:rPr>
        <w:t>2</w:t>
      </w:r>
    </w:p>
    <w:p w:rsidR="00E60569" w:rsidRPr="002102B6" w:rsidRDefault="00E60569" w:rsidP="00D63E4B">
      <w:pPr>
        <w:spacing w:line="276" w:lineRule="auto"/>
        <w:jc w:val="center"/>
        <w:rPr>
          <w:sz w:val="22"/>
        </w:rPr>
      </w:pPr>
      <w:r w:rsidRPr="002102B6">
        <w:rPr>
          <w:sz w:val="22"/>
          <w:vertAlign w:val="superscript"/>
        </w:rPr>
        <w:t>1,2</w:t>
      </w:r>
      <w:r w:rsidRPr="002102B6">
        <w:rPr>
          <w:sz w:val="22"/>
        </w:rPr>
        <w:t>Program Studi Ekonomi Pertanian, Fakultas Pertanian, Universitas Gadjah Mada, Yogyakarta</w:t>
      </w:r>
    </w:p>
    <w:p w:rsidR="00E60569" w:rsidRPr="002102B6" w:rsidRDefault="00E60569" w:rsidP="00D63E4B">
      <w:pPr>
        <w:spacing w:line="276" w:lineRule="auto"/>
        <w:jc w:val="center"/>
        <w:rPr>
          <w:sz w:val="22"/>
        </w:rPr>
      </w:pPr>
      <w:r w:rsidRPr="002102B6">
        <w:rPr>
          <w:sz w:val="22"/>
        </w:rPr>
        <w:t>Jalan Flora No.1, Bulaksumur, Sleman, Daerah Istimewa Yogyakarta</w:t>
      </w:r>
    </w:p>
    <w:p w:rsidR="00FB6908" w:rsidRPr="002102B6" w:rsidRDefault="00FB6908" w:rsidP="00D63E4B">
      <w:pPr>
        <w:spacing w:line="276" w:lineRule="auto"/>
        <w:jc w:val="center"/>
        <w:rPr>
          <w:sz w:val="22"/>
        </w:rPr>
      </w:pPr>
      <w:r w:rsidRPr="002102B6">
        <w:rPr>
          <w:sz w:val="22"/>
        </w:rPr>
        <w:t>imade.yogap@gmail.com</w:t>
      </w:r>
    </w:p>
    <w:p w:rsidR="007B76F1" w:rsidRPr="0010271A" w:rsidRDefault="007B76F1" w:rsidP="00D63E4B">
      <w:pPr>
        <w:spacing w:line="276" w:lineRule="auto"/>
        <w:rPr>
          <w:i/>
          <w:sz w:val="22"/>
          <w:szCs w:val="22"/>
        </w:rPr>
      </w:pPr>
      <w:bookmarkStart w:id="0" w:name="_GoBack"/>
    </w:p>
    <w:p w:rsidR="007B76F1" w:rsidRPr="001C56AE" w:rsidRDefault="007B76F1" w:rsidP="00D63E4B">
      <w:pPr>
        <w:jc w:val="center"/>
        <w:rPr>
          <w:b/>
          <w:sz w:val="22"/>
          <w:szCs w:val="22"/>
        </w:rPr>
      </w:pPr>
      <w:r w:rsidRPr="0010271A">
        <w:rPr>
          <w:b/>
          <w:i/>
          <w:sz w:val="22"/>
          <w:szCs w:val="22"/>
        </w:rPr>
        <w:t>ABSTRACT</w:t>
      </w:r>
      <w:bookmarkEnd w:id="0"/>
    </w:p>
    <w:p w:rsidR="002D0E7E" w:rsidRPr="001C56AE" w:rsidRDefault="00957D73" w:rsidP="00D63E4B">
      <w:pPr>
        <w:jc w:val="both"/>
        <w:rPr>
          <w:i/>
          <w:color w:val="222222"/>
          <w:sz w:val="22"/>
          <w:szCs w:val="22"/>
          <w:shd w:val="clear" w:color="auto" w:fill="FFFFFF"/>
        </w:rPr>
      </w:pPr>
      <w:r w:rsidRPr="001C56AE">
        <w:rPr>
          <w:i/>
          <w:color w:val="222222"/>
          <w:sz w:val="22"/>
          <w:szCs w:val="22"/>
          <w:shd w:val="clear" w:color="auto" w:fill="FFFFFF"/>
        </w:rPr>
        <w:t>The i</w:t>
      </w:r>
      <w:r w:rsidR="00CE3BD9" w:rsidRPr="001C56AE">
        <w:rPr>
          <w:i/>
          <w:color w:val="222222"/>
          <w:sz w:val="22"/>
          <w:szCs w:val="22"/>
          <w:shd w:val="clear" w:color="auto" w:fill="FFFFFF"/>
        </w:rPr>
        <w:t xml:space="preserve">ncreased </w:t>
      </w:r>
      <w:r w:rsidR="002D0E7E" w:rsidRPr="001C56AE">
        <w:rPr>
          <w:i/>
          <w:color w:val="222222"/>
          <w:sz w:val="22"/>
          <w:szCs w:val="22"/>
          <w:shd w:val="clear" w:color="auto" w:fill="FFFFFF"/>
        </w:rPr>
        <w:t xml:space="preserve">economic activity in urban areas has encouraged the expansion of urban areas to peri-urban areas. This activity forces lands with low rental values to be converted </w:t>
      </w:r>
      <w:r w:rsidR="00561D52" w:rsidRPr="001C56AE">
        <w:rPr>
          <w:i/>
          <w:color w:val="222222"/>
          <w:sz w:val="22"/>
          <w:szCs w:val="22"/>
          <w:shd w:val="clear" w:color="auto" w:fill="FFFFFF"/>
        </w:rPr>
        <w:t>into other functions that have</w:t>
      </w:r>
      <w:r w:rsidR="002D0E7E" w:rsidRPr="001C56AE">
        <w:rPr>
          <w:i/>
          <w:color w:val="222222"/>
          <w:sz w:val="22"/>
          <w:szCs w:val="22"/>
          <w:shd w:val="clear" w:color="auto" w:fill="FFFFFF"/>
        </w:rPr>
        <w:t xml:space="preserve"> high rental value</w:t>
      </w:r>
      <w:r w:rsidR="00561D52" w:rsidRPr="001C56AE">
        <w:rPr>
          <w:i/>
          <w:color w:val="222222"/>
          <w:sz w:val="22"/>
          <w:szCs w:val="22"/>
          <w:shd w:val="clear" w:color="auto" w:fill="FFFFFF"/>
        </w:rPr>
        <w:t>s</w:t>
      </w:r>
      <w:r w:rsidR="002D0E7E" w:rsidRPr="001C56AE">
        <w:rPr>
          <w:i/>
          <w:color w:val="222222"/>
          <w:sz w:val="22"/>
          <w:szCs w:val="22"/>
          <w:shd w:val="clear" w:color="auto" w:fill="FFFFFF"/>
        </w:rPr>
        <w:t xml:space="preserve">. Agricultural land is a land that has </w:t>
      </w:r>
      <w:r w:rsidR="005B455F" w:rsidRPr="001C56AE">
        <w:rPr>
          <w:i/>
          <w:color w:val="222222"/>
          <w:sz w:val="22"/>
          <w:szCs w:val="22"/>
          <w:shd w:val="clear" w:color="auto" w:fill="FFFFFF"/>
        </w:rPr>
        <w:t xml:space="preserve">a </w:t>
      </w:r>
      <w:r w:rsidR="002D0E7E" w:rsidRPr="001C56AE">
        <w:rPr>
          <w:i/>
          <w:color w:val="222222"/>
          <w:sz w:val="22"/>
          <w:szCs w:val="22"/>
          <w:shd w:val="clear" w:color="auto" w:fill="FFFFFF"/>
        </w:rPr>
        <w:t>rela</w:t>
      </w:r>
      <w:r w:rsidR="00CE3BD9" w:rsidRPr="001C56AE">
        <w:rPr>
          <w:i/>
          <w:color w:val="222222"/>
          <w:sz w:val="22"/>
          <w:szCs w:val="22"/>
          <w:shd w:val="clear" w:color="auto" w:fill="FFFFFF"/>
        </w:rPr>
        <w:t>tively</w:t>
      </w:r>
      <w:r w:rsidR="007F4763" w:rsidRPr="001C56AE">
        <w:rPr>
          <w:i/>
          <w:color w:val="222222"/>
          <w:sz w:val="22"/>
          <w:szCs w:val="22"/>
          <w:shd w:val="clear" w:color="auto" w:fill="FFFFFF"/>
        </w:rPr>
        <w:t xml:space="preserve"> </w:t>
      </w:r>
      <w:r w:rsidR="00CE3BD9" w:rsidRPr="001C56AE">
        <w:rPr>
          <w:i/>
          <w:color w:val="222222"/>
          <w:sz w:val="22"/>
          <w:szCs w:val="22"/>
          <w:shd w:val="clear" w:color="auto" w:fill="FFFFFF"/>
        </w:rPr>
        <w:t>low rental value, so</w:t>
      </w:r>
      <w:r w:rsidR="002D0E7E" w:rsidRPr="001C56AE">
        <w:rPr>
          <w:i/>
          <w:color w:val="222222"/>
          <w:sz w:val="22"/>
          <w:szCs w:val="22"/>
          <w:shd w:val="clear" w:color="auto" w:fill="FFFFFF"/>
        </w:rPr>
        <w:t xml:space="preserve"> agricultural land is very vulnerable to be converted. Therefore, this research was conducted with the aim 1) to know farmers’ willingness to accept a compensation to protect agricultural land sustainability, 2) to know the factors that influence farmers' willingness to </w:t>
      </w:r>
      <w:r w:rsidR="00C74FF6" w:rsidRPr="001C56AE">
        <w:rPr>
          <w:i/>
          <w:color w:val="222222"/>
          <w:sz w:val="22"/>
          <w:szCs w:val="22"/>
          <w:shd w:val="clear" w:color="auto" w:fill="FFFFFF"/>
        </w:rPr>
        <w:t xml:space="preserve">accept / reject WTA, and 3) to </w:t>
      </w:r>
      <w:r w:rsidR="002D0E7E" w:rsidRPr="001C56AE">
        <w:rPr>
          <w:i/>
          <w:color w:val="222222"/>
          <w:sz w:val="22"/>
          <w:szCs w:val="22"/>
          <w:shd w:val="clear" w:color="auto" w:fill="FFFFFF"/>
        </w:rPr>
        <w:t xml:space="preserve">know the factors that influence the WTA value of farmers’ in the peri-urban areas. The study was conducted in the peri-urban areas of Pekalongan City. The research respondents were 90 farmer owners and cultivators. </w:t>
      </w:r>
      <w:r w:rsidR="005B455F" w:rsidRPr="001C56AE">
        <w:rPr>
          <w:i/>
          <w:color w:val="222222"/>
          <w:sz w:val="22"/>
          <w:szCs w:val="22"/>
          <w:shd w:val="clear" w:color="auto" w:fill="FFFFFF"/>
        </w:rPr>
        <w:t>The r</w:t>
      </w:r>
      <w:r w:rsidR="002D0E7E" w:rsidRPr="001C56AE">
        <w:rPr>
          <w:i/>
          <w:color w:val="222222"/>
          <w:sz w:val="22"/>
          <w:szCs w:val="22"/>
          <w:shd w:val="clear" w:color="auto" w:fill="FFFFFF"/>
        </w:rPr>
        <w:t xml:space="preserve">esearch data was analyzed </w:t>
      </w:r>
      <w:r w:rsidR="005B455F" w:rsidRPr="001C56AE">
        <w:rPr>
          <w:i/>
          <w:color w:val="222222"/>
          <w:sz w:val="22"/>
          <w:szCs w:val="22"/>
          <w:shd w:val="clear" w:color="auto" w:fill="FFFFFF"/>
        </w:rPr>
        <w:t xml:space="preserve">by </w:t>
      </w:r>
      <w:r w:rsidR="002D0E7E" w:rsidRPr="001C56AE">
        <w:rPr>
          <w:i/>
          <w:color w:val="222222"/>
          <w:sz w:val="22"/>
          <w:szCs w:val="22"/>
          <w:shd w:val="clear" w:color="auto" w:fill="FFFFFF"/>
        </w:rPr>
        <w:t xml:space="preserve">using Heckman's two-stage model. The results showed that farmers’ WTA in the peri-urban areas of Pekalongan City amounted to </w:t>
      </w:r>
      <w:r w:rsidR="008B430A" w:rsidRPr="001C56AE">
        <w:rPr>
          <w:i/>
          <w:color w:val="222222"/>
          <w:sz w:val="22"/>
          <w:szCs w:val="22"/>
          <w:shd w:val="clear" w:color="auto" w:fill="FFFFFF"/>
        </w:rPr>
        <w:t xml:space="preserve">IDR </w:t>
      </w:r>
      <w:r w:rsidR="002D0E7E" w:rsidRPr="001C56AE">
        <w:rPr>
          <w:i/>
          <w:color w:val="222222"/>
          <w:sz w:val="22"/>
          <w:szCs w:val="22"/>
          <w:shd w:val="clear" w:color="auto" w:fill="FFFFFF"/>
        </w:rPr>
        <w:t xml:space="preserve">7,217,827.27 per year. Factors that influence farmers’ willingness to accept or reject compensation are the distance of </w:t>
      </w:r>
      <w:r w:rsidR="007F4763" w:rsidRPr="001C56AE">
        <w:rPr>
          <w:i/>
          <w:color w:val="222222"/>
          <w:sz w:val="22"/>
          <w:szCs w:val="22"/>
          <w:shd w:val="clear" w:color="auto" w:fill="FFFFFF"/>
        </w:rPr>
        <w:t xml:space="preserve">the </w:t>
      </w:r>
      <w:r w:rsidR="002D0E7E" w:rsidRPr="001C56AE">
        <w:rPr>
          <w:i/>
          <w:color w:val="222222"/>
          <w:sz w:val="22"/>
          <w:szCs w:val="22"/>
          <w:shd w:val="clear" w:color="auto" w:fill="FFFFFF"/>
        </w:rPr>
        <w:t>agricultural land to the main road and farmers' perceptions toward the sustainability of agricultural land in the peri-urban areas. F</w:t>
      </w:r>
      <w:r w:rsidR="005B455F" w:rsidRPr="001C56AE">
        <w:rPr>
          <w:i/>
          <w:color w:val="222222"/>
          <w:sz w:val="22"/>
          <w:szCs w:val="22"/>
          <w:shd w:val="clear" w:color="auto" w:fill="FFFFFF"/>
        </w:rPr>
        <w:t>actors that influence the number</w:t>
      </w:r>
      <w:r w:rsidR="002D0E7E" w:rsidRPr="001C56AE">
        <w:rPr>
          <w:i/>
          <w:color w:val="222222"/>
          <w:sz w:val="22"/>
          <w:szCs w:val="22"/>
          <w:shd w:val="clear" w:color="auto" w:fill="FFFFFF"/>
        </w:rPr>
        <w:t xml:space="preserve"> of farmers’ WTA to be willing to protect</w:t>
      </w:r>
      <w:r w:rsidR="005B455F" w:rsidRPr="001C56AE">
        <w:rPr>
          <w:i/>
          <w:color w:val="222222"/>
          <w:sz w:val="22"/>
          <w:szCs w:val="22"/>
          <w:shd w:val="clear" w:color="auto" w:fill="FFFFFF"/>
        </w:rPr>
        <w:t xml:space="preserve"> the</w:t>
      </w:r>
      <w:r w:rsidR="002D0E7E" w:rsidRPr="001C56AE">
        <w:rPr>
          <w:i/>
          <w:color w:val="222222"/>
          <w:sz w:val="22"/>
          <w:szCs w:val="22"/>
          <w:shd w:val="clear" w:color="auto" w:fill="FFFFFF"/>
        </w:rPr>
        <w:t xml:space="preserve"> agricultural land in the peri-urban areas of Pekalongan City are farmers’ farm income and farming experience of the farmers.</w:t>
      </w:r>
    </w:p>
    <w:p w:rsidR="00A87FE8" w:rsidRPr="001C56AE" w:rsidRDefault="00A87FE8" w:rsidP="00D63E4B">
      <w:pPr>
        <w:jc w:val="both"/>
        <w:rPr>
          <w:sz w:val="22"/>
          <w:szCs w:val="22"/>
        </w:rPr>
      </w:pPr>
    </w:p>
    <w:p w:rsidR="007B76F1" w:rsidRPr="001C56AE" w:rsidRDefault="007B76F1" w:rsidP="00D63E4B">
      <w:pPr>
        <w:jc w:val="both"/>
        <w:rPr>
          <w:i/>
          <w:sz w:val="22"/>
          <w:szCs w:val="22"/>
        </w:rPr>
      </w:pPr>
      <w:r w:rsidRPr="001C56AE">
        <w:rPr>
          <w:b/>
          <w:i/>
          <w:sz w:val="22"/>
          <w:szCs w:val="22"/>
        </w:rPr>
        <w:t>Keywords</w:t>
      </w:r>
      <w:r w:rsidRPr="001C56AE">
        <w:rPr>
          <w:i/>
          <w:sz w:val="22"/>
          <w:szCs w:val="22"/>
        </w:rPr>
        <w:t xml:space="preserve">: </w:t>
      </w:r>
      <w:r w:rsidR="002D0E7E" w:rsidRPr="001C56AE">
        <w:rPr>
          <w:i/>
          <w:sz w:val="22"/>
          <w:szCs w:val="22"/>
        </w:rPr>
        <w:t xml:space="preserve">farmers’ willingness to accept; </w:t>
      </w:r>
      <w:r w:rsidR="0033511A" w:rsidRPr="001C56AE">
        <w:rPr>
          <w:i/>
          <w:sz w:val="22"/>
          <w:szCs w:val="22"/>
        </w:rPr>
        <w:t>Heckman's two-stage model</w:t>
      </w:r>
      <w:r w:rsidR="0033511A">
        <w:rPr>
          <w:i/>
          <w:sz w:val="22"/>
          <w:szCs w:val="22"/>
        </w:rPr>
        <w:t xml:space="preserve">; </w:t>
      </w:r>
      <w:r w:rsidR="0033511A" w:rsidRPr="001C56AE">
        <w:rPr>
          <w:i/>
          <w:sz w:val="22"/>
          <w:szCs w:val="22"/>
        </w:rPr>
        <w:t>Pekalongan City</w:t>
      </w:r>
      <w:r w:rsidR="0033511A">
        <w:rPr>
          <w:i/>
          <w:sz w:val="22"/>
          <w:szCs w:val="22"/>
        </w:rPr>
        <w:t>;</w:t>
      </w:r>
      <w:r w:rsidR="0033511A" w:rsidRPr="0033511A">
        <w:rPr>
          <w:i/>
          <w:sz w:val="22"/>
          <w:szCs w:val="22"/>
        </w:rPr>
        <w:t xml:space="preserve"> </w:t>
      </w:r>
      <w:r w:rsidR="0033511A" w:rsidRPr="001C56AE">
        <w:rPr>
          <w:i/>
          <w:sz w:val="22"/>
          <w:szCs w:val="22"/>
        </w:rPr>
        <w:t>peri-urban areas</w:t>
      </w:r>
      <w:r w:rsidR="0033511A">
        <w:rPr>
          <w:i/>
          <w:sz w:val="22"/>
          <w:szCs w:val="22"/>
        </w:rPr>
        <w:t>;</w:t>
      </w:r>
      <w:r w:rsidR="0033511A" w:rsidRPr="001C56AE">
        <w:rPr>
          <w:i/>
          <w:sz w:val="22"/>
          <w:szCs w:val="22"/>
        </w:rPr>
        <w:t xml:space="preserve"> </w:t>
      </w:r>
      <w:r w:rsidR="002D0E7E" w:rsidRPr="001C56AE">
        <w:rPr>
          <w:i/>
          <w:sz w:val="22"/>
          <w:szCs w:val="22"/>
        </w:rPr>
        <w:t xml:space="preserve">sustainability of agricultural land; </w:t>
      </w:r>
    </w:p>
    <w:p w:rsidR="007B76F1" w:rsidRDefault="007B76F1" w:rsidP="00D63E4B">
      <w:pPr>
        <w:jc w:val="both"/>
        <w:rPr>
          <w:i/>
          <w:sz w:val="22"/>
          <w:szCs w:val="22"/>
        </w:rPr>
      </w:pPr>
    </w:p>
    <w:p w:rsidR="007B76F1" w:rsidRPr="00FD6193" w:rsidRDefault="007B76F1" w:rsidP="00D63E4B">
      <w:pPr>
        <w:spacing w:line="276" w:lineRule="auto"/>
        <w:jc w:val="center"/>
        <w:rPr>
          <w:b/>
          <w:sz w:val="22"/>
          <w:szCs w:val="22"/>
        </w:rPr>
      </w:pPr>
    </w:p>
    <w:p w:rsidR="00440ED5" w:rsidRDefault="00B15447" w:rsidP="00D63E4B">
      <w:pPr>
        <w:spacing w:line="276" w:lineRule="auto"/>
        <w:jc w:val="center"/>
        <w:rPr>
          <w:b/>
          <w:sz w:val="22"/>
          <w:szCs w:val="22"/>
        </w:rPr>
      </w:pPr>
      <w:r>
        <w:rPr>
          <w:b/>
          <w:sz w:val="22"/>
          <w:szCs w:val="22"/>
        </w:rPr>
        <w:t>INTISARI</w:t>
      </w:r>
    </w:p>
    <w:p w:rsidR="00B15447" w:rsidRDefault="00B15447" w:rsidP="00B15447">
      <w:pPr>
        <w:jc w:val="both"/>
        <w:rPr>
          <w:sz w:val="22"/>
          <w:szCs w:val="22"/>
        </w:rPr>
      </w:pPr>
      <w:r w:rsidRPr="000E253E">
        <w:rPr>
          <w:sz w:val="22"/>
          <w:szCs w:val="22"/>
        </w:rPr>
        <w:t xml:space="preserve">Meningkatnya aktifitas ekonomi di wilayah perkotaan mendorong terjadi perluasan wilayah kota menuju wilayah pinggiran kota. Aktivitas ini memaksa lahan-lahan dengan nilai sewa yang rendah untuk teralihfungsikan menjadi fungsi lain yang memiliki nilai sewa yang tinggi. Lahan pertanian merupakan lahan satu jenis lahan yang memiliki nilai rewa yang relative rendah, sehingga lahan pertanian sangat rentan terhadap kegiatan alih fungsi lahan. Oleh karena itu, penelitian ini dilakukan dengan tujuan untuk mengetahui WTA petani agar bersedia mempertahankan lahan pertanian di pinggiran kota, mengetahui faktor-faktor yang mempengaruhi kesediaan petani untuk menerima/menolak WTA, dan mengetahui faktor-faktor yang mempengaruhi nilai WTA petani di pinggiranm </w:t>
      </w:r>
      <w:r w:rsidRPr="000E253E">
        <w:rPr>
          <w:sz w:val="22"/>
          <w:szCs w:val="22"/>
        </w:rPr>
        <w:lastRenderedPageBreak/>
        <w:t>kota. Penelitian dilakukan di pinggiran Kota Pekalongan. Responden penelitian berjumlah 90 orang petani pemilik dan penggarap. Hasil penelitian menunjukkan bahwa WTA petani di pinggiran Kota Pekalongan adalah sebesar Rp7.217.827,27 per tahun. Faktor-faktor yang mempengaruhi kesediaan petani untuk menerima atau menolak kompensasi adalah jarak lahan pertanian ke jalan utama dan persepsi petani terhadap keberlanjutan lahan pertanian di pinggiran kota. Faktor-faktor yang mempengaruhi jumlah WTA petani agar tetep bersedia mempertahankan lahan pertanian di pinggiran Kota Pekalongan adalah pendapatan usahatani dan pengalaman bertani.</w:t>
      </w:r>
    </w:p>
    <w:p w:rsidR="00B15447" w:rsidRDefault="00B15447" w:rsidP="00B15447">
      <w:pPr>
        <w:jc w:val="both"/>
        <w:rPr>
          <w:sz w:val="22"/>
          <w:szCs w:val="22"/>
        </w:rPr>
      </w:pPr>
    </w:p>
    <w:p w:rsidR="00B15447" w:rsidRDefault="00B15447" w:rsidP="00B15447">
      <w:pPr>
        <w:jc w:val="both"/>
        <w:rPr>
          <w:sz w:val="22"/>
          <w:szCs w:val="22"/>
        </w:rPr>
      </w:pPr>
      <w:r w:rsidRPr="00D7261C">
        <w:rPr>
          <w:b/>
          <w:sz w:val="22"/>
          <w:szCs w:val="22"/>
        </w:rPr>
        <w:t>Kata kunci</w:t>
      </w:r>
      <w:r>
        <w:rPr>
          <w:sz w:val="22"/>
          <w:szCs w:val="22"/>
        </w:rPr>
        <w:t xml:space="preserve">: keberlanjutan lahan pertanian; kesediaan petani menerima kompensasi; Kota Pekalongan; model two-stage Heckman; pinggiran kota. </w:t>
      </w:r>
    </w:p>
    <w:p w:rsidR="00B15447" w:rsidRDefault="00B15447" w:rsidP="00B15447">
      <w:pPr>
        <w:spacing w:line="276" w:lineRule="auto"/>
        <w:jc w:val="both"/>
        <w:rPr>
          <w:b/>
          <w:sz w:val="22"/>
          <w:szCs w:val="22"/>
        </w:rPr>
      </w:pPr>
    </w:p>
    <w:p w:rsidR="00B15447" w:rsidRPr="00FD6193" w:rsidRDefault="00B15447" w:rsidP="00B15447">
      <w:pPr>
        <w:spacing w:line="276" w:lineRule="auto"/>
        <w:jc w:val="both"/>
        <w:rPr>
          <w:b/>
          <w:sz w:val="22"/>
          <w:szCs w:val="22"/>
        </w:rPr>
        <w:sectPr w:rsidR="00B15447" w:rsidRPr="00FD6193" w:rsidSect="00132A9F">
          <w:type w:val="continuous"/>
          <w:pgSz w:w="11907" w:h="16840" w:code="9"/>
          <w:pgMar w:top="2268" w:right="1701" w:bottom="1701" w:left="2268" w:header="720" w:footer="720" w:gutter="0"/>
          <w:cols w:space="360"/>
          <w:docGrid w:linePitch="360"/>
        </w:sectPr>
      </w:pPr>
    </w:p>
    <w:p w:rsidR="00B15447" w:rsidRDefault="00B15447" w:rsidP="001841D7">
      <w:pPr>
        <w:spacing w:line="276" w:lineRule="auto"/>
        <w:jc w:val="both"/>
        <w:rPr>
          <w:b/>
          <w:sz w:val="22"/>
          <w:szCs w:val="22"/>
        </w:rPr>
      </w:pPr>
    </w:p>
    <w:p w:rsidR="00440ED5" w:rsidRPr="00FD6193" w:rsidRDefault="00440ED5" w:rsidP="001841D7">
      <w:pPr>
        <w:spacing w:line="276" w:lineRule="auto"/>
        <w:jc w:val="both"/>
        <w:rPr>
          <w:b/>
          <w:sz w:val="22"/>
          <w:szCs w:val="22"/>
        </w:rPr>
      </w:pPr>
      <w:r w:rsidRPr="00FD6193">
        <w:rPr>
          <w:b/>
          <w:sz w:val="22"/>
          <w:szCs w:val="22"/>
        </w:rPr>
        <w:t>INTRODUCTION</w:t>
      </w:r>
    </w:p>
    <w:p w:rsidR="003A45C1" w:rsidRPr="00FD6193" w:rsidRDefault="005928CB"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Urban areas are very synonymous with a region that has a very high level of economic growth. The high ec</w:t>
      </w:r>
      <w:r w:rsidR="007F4763" w:rsidRPr="00FD6193">
        <w:rPr>
          <w:color w:val="000000"/>
          <w:sz w:val="22"/>
          <w:szCs w:val="22"/>
          <w:shd w:val="clear" w:color="auto" w:fill="FFFFFF"/>
        </w:rPr>
        <w:t>onomic growth in urban areas is</w:t>
      </w:r>
      <w:r w:rsidRPr="00FD6193">
        <w:rPr>
          <w:color w:val="000000"/>
          <w:sz w:val="22"/>
          <w:szCs w:val="22"/>
          <w:shd w:val="clear" w:color="auto" w:fill="FFFFFF"/>
        </w:rPr>
        <w:t xml:space="preserve"> supported by the high role of the industry and trade sectors that support the ec</w:t>
      </w:r>
      <w:r w:rsidR="007F4763" w:rsidRPr="00FD6193">
        <w:rPr>
          <w:color w:val="000000"/>
          <w:sz w:val="22"/>
          <w:szCs w:val="22"/>
          <w:shd w:val="clear" w:color="auto" w:fill="FFFFFF"/>
        </w:rPr>
        <w:t>onomy in urban areas. The r</w:t>
      </w:r>
      <w:r w:rsidRPr="00FD6193">
        <w:rPr>
          <w:color w:val="000000"/>
          <w:sz w:val="22"/>
          <w:szCs w:val="22"/>
          <w:shd w:val="clear" w:color="auto" w:fill="FFFFFF"/>
        </w:rPr>
        <w:t>elatively high ec</w:t>
      </w:r>
      <w:r w:rsidR="007F4763" w:rsidRPr="00FD6193">
        <w:rPr>
          <w:color w:val="000000"/>
          <w:sz w:val="22"/>
          <w:szCs w:val="22"/>
          <w:shd w:val="clear" w:color="auto" w:fill="FFFFFF"/>
        </w:rPr>
        <w:t>onomic growth in urban areas is</w:t>
      </w:r>
      <w:r w:rsidRPr="00FD6193">
        <w:rPr>
          <w:color w:val="000000"/>
          <w:sz w:val="22"/>
          <w:szCs w:val="22"/>
          <w:shd w:val="clear" w:color="auto" w:fill="FFFFFF"/>
        </w:rPr>
        <w:t xml:space="preserve"> an incentive for residents in rural areas to move and seek fortune in urban areas, so in this case it triggers an increasingly urbanization flow </w:t>
      </w:r>
      <w:r w:rsidR="00C74FF6">
        <w:rPr>
          <w:color w:val="000000"/>
          <w:sz w:val="22"/>
          <w:szCs w:val="22"/>
          <w:shd w:val="clear" w:color="auto" w:fill="FFFFFF"/>
        </w:rPr>
        <w:fldChar w:fldCharType="begin" w:fldLock="1"/>
      </w:r>
      <w:r w:rsidR="00C74FF6">
        <w:rPr>
          <w:color w:val="000000"/>
          <w:sz w:val="22"/>
          <w:szCs w:val="22"/>
          <w:shd w:val="clear" w:color="auto" w:fill="FFFFFF"/>
        </w:rPr>
        <w:instrText>ADDIN CSL_CITATION {"citationItems":[{"id":"ITEM-1","itemData":{"DOI":"10.1371/journal.pone.0103799","ISBN":"1932-6203","ISSN":"19326203","PMID":"25099392","abstract":"The relationship between urbanization and economic growth has been perplexing. In this paper, we identify the pattern of global change and the correlation of urbanization and economic growth, using cross-sectional, panel estimation and geographic information systems (GIS) methods. The analysis has been carried out on a global geographical scale, while the timescale of the study spans the last 30 years. The data shows that urbanization levels have changed substantially during these three decades. Empirical findings from cross-sectional data and panel data support the general notion of close links between urbanization levels and GDP per capita. However, we also present significant evidence that there is no correlation between urbanization speed and economic growth rate at the global level. Hence, we conclude that a given country cannot obtain the expected economic benefits from accelerated urbanization, especially if it takes the form of government-led urbanization. In addition, only when all facets are taken into consideration can we fully assess the urbanization process.","author":[{"dropping-particle":"","family":"Chen","given":"Mingxing","non-dropping-particle":"","parse-names":false,"suffix":""},{"dropping-particle":"","family":"Zhang","given":"Hua","non-dropping-particle":"","parse-names":false,"suffix":""},{"dropping-particle":"","family":"Liu","given":"Weidong","non-dropping-particle":"","parse-names":false,"suffix":""},{"dropping-particle":"","family":"Zhang","given":"Wenzhong","non-dropping-particle":"","parse-names":false,"suffix":""}],"container-title":"PLoS ONE","id":"ITEM-1","issue":"8","issued":{"date-parts":[["2014"]]},"page":"1-15","title":"The global pattern of urbanization and economic growth: Evidence from the last three decades","type":"article-journal","volume":"9"},"uris":["http://www.mendeley.com/documents/?uuid=940df443-8a0c-4886-86a5-7ddfcac4e1b4"]}],"mendeley":{"formattedCitation":"(Chen, Zhang, Liu, &amp; Zhang, 2014)","manualFormatting":"(Chen et al., 2014)","plainTextFormattedCitation":"(Chen, Zhang, Liu, &amp; Zhang, 2014)","previouslyFormattedCitation":"(Chen, Zhang, Liu, &amp; Zhang, 2014)"},"properties":{"noteIndex":0},"schema":"https://github.com/citation-style-language/schema/raw/master/csl-citation.json"}</w:instrText>
      </w:r>
      <w:r w:rsidR="00C74FF6">
        <w:rPr>
          <w:color w:val="000000"/>
          <w:sz w:val="22"/>
          <w:szCs w:val="22"/>
          <w:shd w:val="clear" w:color="auto" w:fill="FFFFFF"/>
        </w:rPr>
        <w:fldChar w:fldCharType="separate"/>
      </w:r>
      <w:r w:rsidR="00C74FF6">
        <w:rPr>
          <w:noProof/>
          <w:color w:val="000000"/>
          <w:sz w:val="22"/>
          <w:szCs w:val="22"/>
          <w:shd w:val="clear" w:color="auto" w:fill="FFFFFF"/>
        </w:rPr>
        <w:t>(Chen</w:t>
      </w:r>
      <w:r w:rsidR="00C74FF6" w:rsidRPr="00C74FF6">
        <w:rPr>
          <w:noProof/>
          <w:color w:val="000000"/>
          <w:sz w:val="22"/>
          <w:szCs w:val="22"/>
          <w:shd w:val="clear" w:color="auto" w:fill="FFFFFF"/>
        </w:rPr>
        <w:t xml:space="preserve"> </w:t>
      </w:r>
      <w:r w:rsidR="00C74FF6" w:rsidRPr="00C74FF6">
        <w:rPr>
          <w:i/>
          <w:noProof/>
          <w:color w:val="000000"/>
          <w:sz w:val="22"/>
          <w:szCs w:val="22"/>
          <w:shd w:val="clear" w:color="auto" w:fill="FFFFFF"/>
        </w:rPr>
        <w:t>et al.</w:t>
      </w:r>
      <w:r w:rsidR="00C74FF6">
        <w:rPr>
          <w:noProof/>
          <w:color w:val="000000"/>
          <w:sz w:val="22"/>
          <w:szCs w:val="22"/>
          <w:shd w:val="clear" w:color="auto" w:fill="FFFFFF"/>
        </w:rPr>
        <w:t xml:space="preserve">, </w:t>
      </w:r>
      <w:r w:rsidR="00C74FF6" w:rsidRPr="00C74FF6">
        <w:rPr>
          <w:noProof/>
          <w:color w:val="000000"/>
          <w:sz w:val="22"/>
          <w:szCs w:val="22"/>
          <w:shd w:val="clear" w:color="auto" w:fill="FFFFFF"/>
        </w:rPr>
        <w:t>2014)</w:t>
      </w:r>
      <w:r w:rsidR="00C74FF6">
        <w:rPr>
          <w:color w:val="000000"/>
          <w:sz w:val="22"/>
          <w:szCs w:val="22"/>
          <w:shd w:val="clear" w:color="auto" w:fill="FFFFFF"/>
        </w:rPr>
        <w:fldChar w:fldCharType="end"/>
      </w:r>
      <w:r w:rsidR="00BF47D5" w:rsidRPr="00FD6193">
        <w:rPr>
          <w:color w:val="000000"/>
          <w:sz w:val="22"/>
          <w:szCs w:val="22"/>
          <w:shd w:val="clear" w:color="auto" w:fill="FFFFFF"/>
        </w:rPr>
        <w:t>. The increasing</w:t>
      </w:r>
      <w:r w:rsidRPr="00FD6193">
        <w:rPr>
          <w:color w:val="000000"/>
          <w:sz w:val="22"/>
          <w:szCs w:val="22"/>
          <w:shd w:val="clear" w:color="auto" w:fill="FFFFFF"/>
        </w:rPr>
        <w:t xml:space="preserve"> urbanization has an impact on increasing population in urban areas </w:t>
      </w:r>
      <w:r w:rsidR="00C74FF6">
        <w:rPr>
          <w:color w:val="000000"/>
          <w:sz w:val="22"/>
          <w:szCs w:val="22"/>
          <w:shd w:val="clear" w:color="auto" w:fill="FFFFFF"/>
        </w:rPr>
        <w:fldChar w:fldCharType="begin" w:fldLock="1"/>
      </w:r>
      <w:r w:rsidR="00C74FF6">
        <w:rPr>
          <w:color w:val="000000"/>
          <w:sz w:val="22"/>
          <w:szCs w:val="22"/>
          <w:shd w:val="clear" w:color="auto" w:fill="FFFFFF"/>
        </w:rPr>
        <w:instrText>ADDIN CSL_CITATION {"citationItems":[{"id":"ITEM-1","itemData":{"author":[{"dropping-particle":"","family":"Guneralp","given":"Burak","non-dropping-particle":"","parse-names":false,"suffix":""},{"dropping-particle":"","family":"Lwasa","given":"Shuaib","non-dropping-particle":"","parse-names":false,"suffix":""},{"dropping-particle":"","family":"Masundire","given":"Hillary","non-dropping-particle":"","parse-names":false,"suffix":""},{"dropping-particle":"","family":"Parnell","given":"Susan","non-dropping-particle":"","parse-names":false,"suffix":""},{"dropping-particle":"","family":"Seto","given":"Karen C","non-dropping-particle":"","parse-names":false,"suffix":""}],"container-title":"Environmental Reearch Letters","id":"ITEM-1","issue":"2018","issued":{"date-parts":[["2017"]]},"page":"1-9","title":"Urbanization in Africa : challenges and opportunities for conservation","type":"article-journal","volume":"13"},"uris":["http://www.mendeley.com/documents/?uuid=6f87d71d-137f-4d32-8cde-32f8a77e39a5"]}],"mendeley":{"formattedCitation":"(Guneralp, Lwasa, Masundire, Parnell, &amp; Seto, 2017)","manualFormatting":"(Guneralp et al., 2017)","plainTextFormattedCitation":"(Guneralp, Lwasa, Masundire, Parnell, &amp; Seto, 2017)","previouslyFormattedCitation":"(Guneralp, Lwasa, Masundire, Parnell, &amp; Seto, 2017)"},"properties":{"noteIndex":0},"schema":"https://github.com/citation-style-language/schema/raw/master/csl-citation.json"}</w:instrText>
      </w:r>
      <w:r w:rsidR="00C74FF6">
        <w:rPr>
          <w:color w:val="000000"/>
          <w:sz w:val="22"/>
          <w:szCs w:val="22"/>
          <w:shd w:val="clear" w:color="auto" w:fill="FFFFFF"/>
        </w:rPr>
        <w:fldChar w:fldCharType="separate"/>
      </w:r>
      <w:r w:rsidR="00C74FF6" w:rsidRPr="00C74FF6">
        <w:rPr>
          <w:noProof/>
          <w:color w:val="000000"/>
          <w:sz w:val="22"/>
          <w:szCs w:val="22"/>
          <w:shd w:val="clear" w:color="auto" w:fill="FFFFFF"/>
        </w:rPr>
        <w:t xml:space="preserve">(Guneralp </w:t>
      </w:r>
      <w:r w:rsidR="00C74FF6" w:rsidRPr="00C74FF6">
        <w:rPr>
          <w:i/>
          <w:noProof/>
          <w:color w:val="000000"/>
          <w:sz w:val="22"/>
          <w:szCs w:val="22"/>
          <w:shd w:val="clear" w:color="auto" w:fill="FFFFFF"/>
        </w:rPr>
        <w:t>et al</w:t>
      </w:r>
      <w:r w:rsidR="00C74FF6">
        <w:rPr>
          <w:noProof/>
          <w:color w:val="000000"/>
          <w:sz w:val="22"/>
          <w:szCs w:val="22"/>
          <w:shd w:val="clear" w:color="auto" w:fill="FFFFFF"/>
        </w:rPr>
        <w:t xml:space="preserve">., </w:t>
      </w:r>
      <w:r w:rsidR="00C74FF6" w:rsidRPr="00C74FF6">
        <w:rPr>
          <w:noProof/>
          <w:color w:val="000000"/>
          <w:sz w:val="22"/>
          <w:szCs w:val="22"/>
          <w:shd w:val="clear" w:color="auto" w:fill="FFFFFF"/>
        </w:rPr>
        <w:t>2017)</w:t>
      </w:r>
      <w:r w:rsidR="00C74FF6">
        <w:rPr>
          <w:color w:val="000000"/>
          <w:sz w:val="22"/>
          <w:szCs w:val="22"/>
          <w:shd w:val="clear" w:color="auto" w:fill="FFFFFF"/>
        </w:rPr>
        <w:fldChar w:fldCharType="end"/>
      </w:r>
      <w:r w:rsidRPr="00FD6193">
        <w:rPr>
          <w:color w:val="000000"/>
          <w:sz w:val="22"/>
          <w:szCs w:val="22"/>
          <w:shd w:val="clear" w:color="auto" w:fill="FFFFFF"/>
        </w:rPr>
        <w:t>.</w:t>
      </w:r>
    </w:p>
    <w:p w:rsidR="005928CB" w:rsidRPr="00FD6193" w:rsidRDefault="005928CB"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The increase of population in urban areas has triggered an increase in the need for housing land </w:t>
      </w:r>
      <w:r w:rsidR="00C74FF6">
        <w:rPr>
          <w:color w:val="000000"/>
          <w:sz w:val="22"/>
          <w:szCs w:val="22"/>
          <w:shd w:val="clear" w:color="auto" w:fill="FFFFFF"/>
        </w:rPr>
        <w:fldChar w:fldCharType="begin" w:fldLock="1"/>
      </w:r>
      <w:r w:rsidR="00C74FF6">
        <w:rPr>
          <w:color w:val="000000"/>
          <w:sz w:val="22"/>
          <w:szCs w:val="22"/>
          <w:shd w:val="clear" w:color="auto" w:fill="FFFFFF"/>
        </w:rPr>
        <w:instrText>ADDIN CSL_CITATION {"citationItems":[{"id":"ITEM-1","itemData":{"DOI":"10.3390/su8090920","ISSN":"2071-1050","abstract":"China has experienced rapid urban expansion and agricultural land loss,\\nand the land conversion has accelerated in central provinces since the\\nmid-1990s. The goal of this paper is to examine the relative importance\\nof socioeconomic and policy factors on the urban conversion of\\nagricultural land in Henan Province, China. Using panel econometric\\nmodels, we examine how socioeconomic and policy factors affect\\nagricultural land conversion at the county level across three time\\nperiods, 1995-2000, 2000-2005, and 2005-2010. The results show that both\\nurban land rent and urban wages are essential factors that positively\\ncontribute to the conversion of agricultural land. It is also found that\\nper capita GDP is correlated with more urban development and\\nagricultural land loss. Consistent with expectations, agricultural\\nfinancial support is negatively correlated with agricultural land\\nconversion, suggesting a policy success. Finally, the decomposition\\nanalysis illustrates that urban wages are the most influential positive\\nfactor and agricultural financial support is the most influential\\nnegative factor affecting the urban conversion of agricultural land.","author":[{"dropping-particle":"","family":"Jiang","given":"Li","non-dropping-particle":"","parse-names":false,"suffix":""},{"dropping-particle":"","family":"Zhang","given":"Yonghui","non-dropping-particle":"","parse-names":false,"suffix":""}],"container-title":"Sustainability","id":"ITEM-1","issue":"9","issued":{"date-parts":[["2016"]]},"page":"920","title":"Modeling Urban Expansion and Agricultural Land Conversion in Henan Province, China: An Integration of Land Use and Socioeconomic Data","type":"article-journal","volume":"8"},"uris":["http://www.mendeley.com/documents/?uuid=23034f46-1d0c-4009-96e7-849fdda6ebf7"]}],"mendeley":{"formattedCitation":"(Jiang &amp; Zhang, 2016)","plainTextFormattedCitation":"(Jiang &amp; Zhang, 2016)","previouslyFormattedCitation":"(Jiang &amp; Zhang, 2016)"},"properties":{"noteIndex":0},"schema":"https://github.com/citation-style-language/schema/raw/master/csl-citation.json"}</w:instrText>
      </w:r>
      <w:r w:rsidR="00C74FF6">
        <w:rPr>
          <w:color w:val="000000"/>
          <w:sz w:val="22"/>
          <w:szCs w:val="22"/>
          <w:shd w:val="clear" w:color="auto" w:fill="FFFFFF"/>
        </w:rPr>
        <w:fldChar w:fldCharType="separate"/>
      </w:r>
      <w:r w:rsidR="00C74FF6" w:rsidRPr="00C74FF6">
        <w:rPr>
          <w:noProof/>
          <w:color w:val="000000"/>
          <w:sz w:val="22"/>
          <w:szCs w:val="22"/>
          <w:shd w:val="clear" w:color="auto" w:fill="FFFFFF"/>
        </w:rPr>
        <w:t>(Jiang &amp; Zhang, 2016)</w:t>
      </w:r>
      <w:r w:rsidR="00C74FF6">
        <w:rPr>
          <w:color w:val="000000"/>
          <w:sz w:val="22"/>
          <w:szCs w:val="22"/>
          <w:shd w:val="clear" w:color="auto" w:fill="FFFFFF"/>
        </w:rPr>
        <w:fldChar w:fldCharType="end"/>
      </w:r>
      <w:r w:rsidRPr="00FD6193">
        <w:rPr>
          <w:color w:val="000000"/>
          <w:sz w:val="22"/>
          <w:szCs w:val="22"/>
          <w:shd w:val="clear" w:color="auto" w:fill="FFFFFF"/>
        </w:rPr>
        <w:t xml:space="preserve">. In addition, the increase of economic activity in the urban area caused by the non-agricultural sector has led to the economic transformation of urban areas and has led to an increase in land requirements for the non-agricultural sector in urban areas </w:t>
      </w:r>
      <w:r w:rsidR="00C74FF6">
        <w:rPr>
          <w:color w:val="000000"/>
          <w:sz w:val="22"/>
          <w:szCs w:val="22"/>
          <w:shd w:val="clear" w:color="auto" w:fill="FFFFFF"/>
        </w:rPr>
        <w:fldChar w:fldCharType="begin" w:fldLock="1"/>
      </w:r>
      <w:r w:rsidR="00C74FF6">
        <w:rPr>
          <w:color w:val="000000"/>
          <w:sz w:val="22"/>
          <w:szCs w:val="22"/>
          <w:shd w:val="clear" w:color="auto" w:fill="FFFFFF"/>
        </w:rPr>
        <w:instrText>ADDIN CSL_CITATION {"citationItems":[{"id":"ITEM-1","itemData":{"abstract":"Soil is a multifunctional, non-renewable natural resource for Europe as clearly expressed in the European Union (EU) Thematic Strategy for Soil Protection (COM (2006)231). Soil carries out multiple functions, including the support of food production. Urban development and its associated land take poses a major threat to soil and could have significant effects on agricultural production. This paper aims to evaluate the potential productivity losses in European agriculture due to land-take processes between 1990 and 2006. Agricultural land take was calculated using CORINE Land Cover maps of 1990, 2000 and 2006. For 21 of the 27 EU member states, agricultural land take was computed to be 752,973 ha for 1990–2000 and 436,095 ha for 2000–2006, representing 70.8% and 53.5%, respectively, of the total EU land take for these periods. The impact of this land take on the production capabilities of the agricultural sector for the period 1990–2006 for 19 of the 21 states was estimated to be equivalent to a loss of more than six million tonnes of wheat. The paper demonstrates that Europe’s intense urbanisation has a direct impact on its capability to produce food. Keywords:","author":[{"dropping-particle":"","family":"Gardi","given":"C.","non-dropping-particle":"","parse-names":false,"suffix":""},{"dropping-particle":"","family":"Panagos","given":"P.","non-dropping-particle":"","parse-names":false,"suffix":""},{"dropping-particle":"","family":"Liedekerke","given":"M.","non-dropping-particle":"Van","parse-names":false,"suffix":""},{"dropping-particle":"","family":"Bosco","given":"C.","non-dropping-particle":"","parse-names":false,"suffix":""},{"dropping-particle":"","family":"Brogniez","given":"D.","non-dropping-particle":"de","parse-names":false,"suffix":""}],"container-title":"Journal of Environmental Planning and Management","id":"ITEM-1","issue":"5","issued":{"date-parts":[["2015"]]},"page":"898-912","title":"Land Take and Food Security: Assessment of land take on the agricultural production in Europe.","type":"article-journal","volume":"58"},"uris":["http://www.mendeley.com/documents/?uuid=2991973a-34c9-401b-9304-cd227c015ace"]},{"id":"ITEM-2","itemData":{"author":[{"dropping-particle":"","family":"Yasar","given":"Muhammad","non-dropping-particle":"","parse-names":false,"suffix":""},{"dropping-particle":"","family":"Siwar","given":"Chamhuri","non-dropping-particle":"","parse-names":false,"suffix":""}],"container-title":"Rona Teknik Pertanian","id":"ITEM-2","issue":"2","issued":{"date-parts":[["2016"]]},"page":"168-177","title":"Paddy Field Conversion in Malaysia : Issues and Challenges","type":"article-journal","volume":"9"},"uris":["http://www.mendeley.com/documents/?uuid=e0c87b02-bf57-43e8-8e0f-6129d1958f0d"]}],"mendeley":{"formattedCitation":"(Gardi, Panagos, Van Liedekerke, Bosco, &amp; de Brogniez, 2015; Yasar &amp; Siwar, 2016)","manualFormatting":"(Gardi, et al., 2015; Yasar &amp; Siwar, 2016)","plainTextFormattedCitation":"(Gardi, Panagos, Van Liedekerke, Bosco, &amp; de Brogniez, 2015; Yasar &amp; Siwar, 2016)","previouslyFormattedCitation":"(Gardi, Panagos, Van Liedekerke, Bosco, &amp; de Brogniez, 2015; Yasar &amp; Siwar, 2016)"},"properties":{"noteIndex":0},"schema":"https://github.com/citation-style-language/schema/raw/master/csl-citation.json"}</w:instrText>
      </w:r>
      <w:r w:rsidR="00C74FF6">
        <w:rPr>
          <w:color w:val="000000"/>
          <w:sz w:val="22"/>
          <w:szCs w:val="22"/>
          <w:shd w:val="clear" w:color="auto" w:fill="FFFFFF"/>
        </w:rPr>
        <w:fldChar w:fldCharType="separate"/>
      </w:r>
      <w:r w:rsidR="00C74FF6" w:rsidRPr="00C74FF6">
        <w:rPr>
          <w:noProof/>
          <w:color w:val="000000"/>
          <w:sz w:val="22"/>
          <w:szCs w:val="22"/>
          <w:shd w:val="clear" w:color="auto" w:fill="FFFFFF"/>
        </w:rPr>
        <w:t xml:space="preserve">(Gardi, </w:t>
      </w:r>
      <w:r w:rsidR="00C74FF6" w:rsidRPr="00C74FF6">
        <w:rPr>
          <w:i/>
          <w:noProof/>
          <w:color w:val="000000"/>
          <w:sz w:val="22"/>
          <w:szCs w:val="22"/>
          <w:shd w:val="clear" w:color="auto" w:fill="FFFFFF"/>
        </w:rPr>
        <w:t>et al</w:t>
      </w:r>
      <w:r w:rsidR="00C74FF6">
        <w:rPr>
          <w:noProof/>
          <w:color w:val="000000"/>
          <w:sz w:val="22"/>
          <w:szCs w:val="22"/>
          <w:shd w:val="clear" w:color="auto" w:fill="FFFFFF"/>
        </w:rPr>
        <w:t>.</w:t>
      </w:r>
      <w:r w:rsidR="00C74FF6" w:rsidRPr="00C74FF6">
        <w:rPr>
          <w:noProof/>
          <w:color w:val="000000"/>
          <w:sz w:val="22"/>
          <w:szCs w:val="22"/>
          <w:shd w:val="clear" w:color="auto" w:fill="FFFFFF"/>
        </w:rPr>
        <w:t>, 2015; Yasar &amp; Siwar, 2016)</w:t>
      </w:r>
      <w:r w:rsidR="00C74FF6">
        <w:rPr>
          <w:color w:val="000000"/>
          <w:sz w:val="22"/>
          <w:szCs w:val="22"/>
          <w:shd w:val="clear" w:color="auto" w:fill="FFFFFF"/>
        </w:rPr>
        <w:fldChar w:fldCharType="end"/>
      </w:r>
      <w:r w:rsidRPr="00FD6193">
        <w:rPr>
          <w:color w:val="000000"/>
          <w:sz w:val="22"/>
          <w:szCs w:val="22"/>
          <w:shd w:val="clear" w:color="auto" w:fill="FFFFFF"/>
        </w:rPr>
        <w:t xml:space="preserve">. An increase in land requirements for a need can only be fulfilled at the expense of land use for other needs. </w:t>
      </w:r>
      <w:r w:rsidR="00676ABF" w:rsidRPr="00FD6193">
        <w:rPr>
          <w:color w:val="000000"/>
          <w:sz w:val="22"/>
          <w:szCs w:val="22"/>
          <w:shd w:val="clear" w:color="auto" w:fill="FFFFFF"/>
        </w:rPr>
        <w:t>To meet the</w:t>
      </w:r>
      <w:r w:rsidR="0025056E" w:rsidRPr="00FD6193">
        <w:rPr>
          <w:color w:val="000000"/>
          <w:sz w:val="22"/>
          <w:szCs w:val="22"/>
          <w:shd w:val="clear" w:color="auto" w:fill="FFFFFF"/>
        </w:rPr>
        <w:t xml:space="preserve"> need</w:t>
      </w:r>
      <w:r w:rsidR="00676ABF" w:rsidRPr="00FD6193">
        <w:rPr>
          <w:color w:val="000000"/>
          <w:sz w:val="22"/>
          <w:szCs w:val="22"/>
          <w:shd w:val="clear" w:color="auto" w:fill="FFFFFF"/>
        </w:rPr>
        <w:t xml:space="preserve"> w</w:t>
      </w:r>
      <w:r w:rsidRPr="00FD6193">
        <w:rPr>
          <w:color w:val="000000"/>
          <w:sz w:val="22"/>
          <w:szCs w:val="22"/>
          <w:shd w:val="clear" w:color="auto" w:fill="FFFFFF"/>
        </w:rPr>
        <w:t>hen there is an increase in the need for land from t</w:t>
      </w:r>
      <w:r w:rsidR="00BF47D5" w:rsidRPr="00FD6193">
        <w:rPr>
          <w:color w:val="000000"/>
          <w:sz w:val="22"/>
          <w:szCs w:val="22"/>
          <w:shd w:val="clear" w:color="auto" w:fill="FFFFFF"/>
        </w:rPr>
        <w:t xml:space="preserve">he non-agricultural sector, </w:t>
      </w:r>
      <w:r w:rsidR="00676ABF" w:rsidRPr="00FD6193">
        <w:rPr>
          <w:color w:val="000000"/>
          <w:sz w:val="22"/>
          <w:szCs w:val="22"/>
          <w:shd w:val="clear" w:color="auto" w:fill="FFFFFF"/>
        </w:rPr>
        <w:t xml:space="preserve">it </w:t>
      </w:r>
      <w:r w:rsidRPr="00FD6193">
        <w:rPr>
          <w:color w:val="000000"/>
          <w:sz w:val="22"/>
          <w:szCs w:val="22"/>
          <w:shd w:val="clear" w:color="auto" w:fill="FFFFFF"/>
        </w:rPr>
        <w:t xml:space="preserve">can only be done at the expense of the land used for activities in the agricultural sector or other sectors. This causes a trade-off on land use in an area </w:t>
      </w:r>
      <w:r w:rsidR="00C74FF6">
        <w:rPr>
          <w:color w:val="000000"/>
          <w:sz w:val="22"/>
          <w:szCs w:val="22"/>
          <w:shd w:val="clear" w:color="auto" w:fill="FFFFFF"/>
        </w:rPr>
        <w:fldChar w:fldCharType="begin" w:fldLock="1"/>
      </w:r>
      <w:r w:rsidR="00C74FF6">
        <w:rPr>
          <w:color w:val="000000"/>
          <w:sz w:val="22"/>
          <w:szCs w:val="22"/>
          <w:shd w:val="clear" w:color="auto" w:fill="FFFFFF"/>
        </w:rPr>
        <w:instrText>ADDIN CSL_CITATION {"citationItems":[{"id":"ITEM-1","itemData":{"ISSN":"2146-4138","abstract":"The objective of this paper is to study the capital structure of firms and the explanation of their behavior in the context of trade-off theory. It analyzes the determinants of capital structure of Tunisian firms through the existence or not of a dynamic model of adjustment to target leverage ratio. This validation leads to test two complementary successive models, the first is a static, while the second is a dynamic model that incorporates transaction costs variable to see how we can talk about a speed adjustment allowing firms to get closer to the target ratio. The results of the first model show that the profitability and asset structure are the main explanatory variables of the level of leverage of Tunisian firms. While for the dynamic model, the most remarkable result is manifested at the level of the adjustment costs that are relatively high which engendered a slow adjustment towards the optimal ratio.","author":[{"dropping-particle":"","family":"Ghazouani","given":"Tarek","non-dropping-particle":"","parse-names":false,"suffix":""}],"container-title":"International Journal of Economics and Finance","id":"ITEM-1","issue":"3","issued":{"date-parts":[["2013"]]},"page":"625-636","title":"The capital structure through the Trade-Off Theory : Evidence from Tunisian firm","type":"article-journal","volume":"3"},"uris":["http://www.mendeley.com/documents/?uuid=924a1e62-14ef-4219-8957-87712e33e84f"]}],"mendeley":{"formattedCitation":"(Ghazouani, 2013)","plainTextFormattedCitation":"(Ghazouani, 2013)","previouslyFormattedCitation":"(Ghazouani, 2013)"},"properties":{"noteIndex":0},"schema":"https://github.com/citation-style-language/schema/raw/master/csl-citation.json"}</w:instrText>
      </w:r>
      <w:r w:rsidR="00C74FF6">
        <w:rPr>
          <w:color w:val="000000"/>
          <w:sz w:val="22"/>
          <w:szCs w:val="22"/>
          <w:shd w:val="clear" w:color="auto" w:fill="FFFFFF"/>
        </w:rPr>
        <w:fldChar w:fldCharType="separate"/>
      </w:r>
      <w:r w:rsidR="00C74FF6" w:rsidRPr="00C74FF6">
        <w:rPr>
          <w:noProof/>
          <w:color w:val="000000"/>
          <w:sz w:val="22"/>
          <w:szCs w:val="22"/>
          <w:shd w:val="clear" w:color="auto" w:fill="FFFFFF"/>
        </w:rPr>
        <w:t>(Ghazouani, 2013)</w:t>
      </w:r>
      <w:r w:rsidR="00C74FF6">
        <w:rPr>
          <w:color w:val="000000"/>
          <w:sz w:val="22"/>
          <w:szCs w:val="22"/>
          <w:shd w:val="clear" w:color="auto" w:fill="FFFFFF"/>
        </w:rPr>
        <w:fldChar w:fldCharType="end"/>
      </w:r>
      <w:r w:rsidRPr="00FD6193">
        <w:rPr>
          <w:color w:val="000000"/>
          <w:sz w:val="22"/>
          <w:szCs w:val="22"/>
          <w:shd w:val="clear" w:color="auto" w:fill="FFFFFF"/>
        </w:rPr>
        <w:t>. Trade-offs are expressed as opportunity costs which are the preferred alternative when making economic decisions, which come from the idea that resources are scarce, which means obtaining more than one scarce resource, individua</w:t>
      </w:r>
      <w:r w:rsidR="00AB3CBB" w:rsidRPr="00FD6193">
        <w:rPr>
          <w:color w:val="000000"/>
          <w:sz w:val="22"/>
          <w:szCs w:val="22"/>
          <w:shd w:val="clear" w:color="auto" w:fill="FFFFFF"/>
        </w:rPr>
        <w:t>ls or groups collectively have</w:t>
      </w:r>
      <w:r w:rsidRPr="00FD6193">
        <w:rPr>
          <w:color w:val="000000"/>
          <w:sz w:val="22"/>
          <w:szCs w:val="22"/>
          <w:shd w:val="clear" w:color="auto" w:fill="FFFFFF"/>
        </w:rPr>
        <w:t xml:space="preserve"> to sacrifice a number of other rare items </w:t>
      </w:r>
      <w:r w:rsidR="00C74FF6">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{"citationItems":[{"id":"ITEM-1","itemData":{"abstract":"Ecosystem services are substantial elements for human society. The central challenge to meet the human needs from ecosystems while sustain the Earth’s life support systems makes it urgent to enhance efficient natural resource management for sustainable ecological and socioeconomic development. Trade-off analysis of ecosystem services can help to identify optimal decision points to balance the costs and benefits of the diverse human uses of ecosystems. In this sense, the aim of this paper is to provide key insights into ecosystem services trade-off analysis at different scales from a land use perspective, by comprehensively reviewing the trade-offs analysis tools and approaches that addressed in ecology, economics and other fields. The review will significantly contribute to future research on trade-off analysis to avoid inferior management options and offer a win-win solution based on comprehensive and efficient planning for interacting multiple ecosystem services.","author":[{"dropping-particle":"","family":"Xiangzheng","given":"Deng","non-dropping-particle":"","parse-names":false,"suffix":""},{"dropping-particle":"","family":"Zhihui","given":"Li","non-dropping-particle":"","parse-names":false,"suffix":""},{"dropping-particle":"","family":"Gibson","given":"John","non-dropping-particle":"","parse-names":false,"suffix":""}],"container-title":"Journal of Geographical Sciences","id":"ITEM-1","issue":"7","issued":{"date-parts":[["2016"]]},"page":"953-968","title":"A review on trade-off analysis of ecosystem services for sustainable land-use management","type":"article-journal","volume":"26"},"uris":["http://www.mendeley.com/documents/?uuid=591c16f8-adf6-4002-ae1a-b51d5ed54678"]}],"mendeley":{"formattedCitation":"(Xiangzheng, Zhihui, &amp; Gibson, 2016)","manualFormatting":"(Xiangzheng et al., 2016)","plainTextFormattedCitation":"(Xiangzheng, Zhihui, &amp; Gibson, 2016)","previouslyFormattedCitation":"(Xiangzheng, Zhihui, &amp; Gibson, 2016)"},"properties":{"noteIndex":0},"schema":"https://github.com/citation-style-language/schema/raw/master/csl-citation.json"}</w:instrText>
      </w:r>
      <w:r w:rsidR="00C74FF6">
        <w:rPr>
          <w:color w:val="000000"/>
          <w:sz w:val="22"/>
          <w:szCs w:val="22"/>
          <w:shd w:val="clear" w:color="auto" w:fill="FFFFFF"/>
        </w:rPr>
        <w:fldChar w:fldCharType="separate"/>
      </w:r>
      <w:r w:rsidR="00C74FF6">
        <w:rPr>
          <w:noProof/>
          <w:color w:val="000000"/>
          <w:sz w:val="22"/>
          <w:szCs w:val="22"/>
          <w:shd w:val="clear" w:color="auto" w:fill="FFFFFF"/>
        </w:rPr>
        <w:t>(Xiangzheng</w:t>
      </w:r>
      <w:r w:rsidR="00C74FF6" w:rsidRPr="00C74FF6">
        <w:rPr>
          <w:noProof/>
          <w:color w:val="000000"/>
          <w:sz w:val="22"/>
          <w:szCs w:val="22"/>
          <w:shd w:val="clear" w:color="auto" w:fill="FFFFFF"/>
        </w:rPr>
        <w:t xml:space="preserve"> </w:t>
      </w:r>
      <w:r w:rsidR="00C74FF6" w:rsidRPr="00C74FF6">
        <w:rPr>
          <w:i/>
          <w:noProof/>
          <w:color w:val="000000"/>
          <w:sz w:val="22"/>
          <w:szCs w:val="22"/>
          <w:shd w:val="clear" w:color="auto" w:fill="FFFFFF"/>
        </w:rPr>
        <w:t>et al</w:t>
      </w:r>
      <w:r w:rsidR="00C74FF6">
        <w:rPr>
          <w:noProof/>
          <w:color w:val="000000"/>
          <w:sz w:val="22"/>
          <w:szCs w:val="22"/>
          <w:shd w:val="clear" w:color="auto" w:fill="FFFFFF"/>
        </w:rPr>
        <w:t>.,</w:t>
      </w:r>
      <w:r w:rsidR="00C74FF6" w:rsidRPr="00C74FF6">
        <w:rPr>
          <w:noProof/>
          <w:color w:val="000000"/>
          <w:sz w:val="22"/>
          <w:szCs w:val="22"/>
          <w:shd w:val="clear" w:color="auto" w:fill="FFFFFF"/>
        </w:rPr>
        <w:t xml:space="preserve"> 2016)</w:t>
      </w:r>
      <w:r w:rsidR="00C74FF6">
        <w:rPr>
          <w:color w:val="000000"/>
          <w:sz w:val="22"/>
          <w:szCs w:val="22"/>
          <w:shd w:val="clear" w:color="auto" w:fill="FFFFFF"/>
        </w:rPr>
        <w:fldChar w:fldCharType="end"/>
      </w:r>
      <w:r w:rsidRPr="00FD6193">
        <w:rPr>
          <w:color w:val="000000"/>
          <w:sz w:val="22"/>
          <w:szCs w:val="22"/>
          <w:shd w:val="clear" w:color="auto" w:fill="FFFFFF"/>
        </w:rPr>
        <w:t>. Therefore, the trade-off of land use can have an impact on increasing one service from a particular sector and at the same time there will be a decrease in some services in other sectors.</w:t>
      </w:r>
    </w:p>
    <w:p w:rsidR="005928CB" w:rsidRPr="00FD6193" w:rsidRDefault="005928CB"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Trad</w:t>
      </w:r>
      <w:r w:rsidR="00F0173C" w:rsidRPr="00FD6193">
        <w:rPr>
          <w:color w:val="000000"/>
          <w:sz w:val="22"/>
          <w:szCs w:val="22"/>
          <w:shd w:val="clear" w:color="auto" w:fill="FFFFFF"/>
        </w:rPr>
        <w:t>e-off</w:t>
      </w:r>
      <w:r w:rsidR="00C74FF6">
        <w:rPr>
          <w:color w:val="000000"/>
          <w:sz w:val="22"/>
          <w:szCs w:val="22"/>
          <w:shd w:val="clear" w:color="auto" w:fill="FFFFFF"/>
        </w:rPr>
        <w:t>s</w:t>
      </w:r>
      <w:r w:rsidR="00F0173C" w:rsidRPr="00FD6193">
        <w:rPr>
          <w:color w:val="000000"/>
          <w:sz w:val="22"/>
          <w:szCs w:val="22"/>
          <w:shd w:val="clear" w:color="auto" w:fill="FFFFFF"/>
        </w:rPr>
        <w:t xml:space="preserve"> of land use also occurs with</w:t>
      </w:r>
      <w:r w:rsidRPr="00FD6193">
        <w:rPr>
          <w:color w:val="000000"/>
          <w:sz w:val="22"/>
          <w:szCs w:val="22"/>
          <w:shd w:val="clear" w:color="auto" w:fill="FFFFFF"/>
        </w:rPr>
        <w:t xml:space="preserve"> agricultural land, especially agricultural land in the peri-urban areas. Agricultural land has relatively low rental value compared to other economic activities, so it is very vulnerable to be converted into non-agricultural land. The conversion of agricultural land will trigger an increased risk of food security for residents in urban areas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{"citationItems":[{"id":"ITEM-1","itemData":{"DOI":"10.1080/13600818.2015.1067292","ISSN":"14699966","abstract":"The phenomenon of rapid urbanisation across the world has become a topic of increased scholarly inquiry. Yet, little attention has been paid to how urban growth affects countries’ food security and whether this association is modified by a country's level of development. The present study aims to fill this lacuna by examining the association between urbanisation and food security applying statistical modelling. The analysis uses country-level data, from the World Development Indicators and the United Nations’ World Urbanization Prospects. Using a Food Insecurity Risk Index (FIRI) as the outcome variable, the results confirm a significant negative impact of urban growth on food security at the country level. It further finds that rapidly urbanising countries with the lowest levels of human development are most at risk of food insecurity.","author":[{"dropping-particle":"","family":"Szabo","given":"Sylvia","non-dropping-particle":"","parse-names":false,"suffix":""}],"container-title":"Oxford Development Studies","id":"ITEM-1","issue":"1","issued":{"date-parts":[["2016"]]},"page":"28-48","publisher":"Routledge","title":"Urbanisation and food insecurity risks: Assessing the role of human development","type":"article-journal","volume":"44"},"uris":["http://www.mendeley.com/documents/?uuid=ead974fa-ea45-4a06-98c6-71b174c92a39"]},{"id":"ITEM-2","itemData":{"DOI":"10.12691/jfs-5-6-4","ISSN":"2372-0115","author":[{"dropping-particle":"","family":"Aragie","given":"Tibebu","non-dropping-particle":"","parse-names":false,"suffix":""},{"dropping-particle":"","family":"Genanu","given":"Sisay","non-dropping-particle":"","parse-names":false,"suffix":""}],"container-title":"Journal of Food Security","id":"ITEM-2","issue":"6","issued":{"date-parts":[["2017"]]},"page":"232-247","title":"Level and determinants of food security in North Wollo Zone (Amhara Region–Ethiopia)","type":"article-journal","volume":"5"},"uris":["http://www.mendeley.com/documents/?uuid=53725e90-0cd6-4ef9-a84a-b31ecfb49a58"]}],"mendeley":{"formattedCitation":"(Aragie &amp; Genanu, 2017; Szabo, 2016)","plainTextFormattedCitation":"(Aragie &amp; Genanu, 2017; Szabo, 2016)","previouslyFormattedCitation":"(Aragie &amp; Genanu, 2017; Szabo, 2016)"},"properties":{"noteIndex":0},"schema":"https://github.com/citation-style-language/schema/raw/master/csl-citation.json"}</w:instrText>
      </w:r>
      <w:r w:rsidR="008E2342">
        <w:rPr>
          <w:color w:val="000000"/>
          <w:sz w:val="22"/>
          <w:szCs w:val="22"/>
          <w:shd w:val="clear" w:color="auto" w:fill="FFFFFF"/>
        </w:rPr>
        <w:fldChar w:fldCharType="separate"/>
      </w:r>
      <w:r w:rsidR="008E2342" w:rsidRPr="008E2342">
        <w:rPr>
          <w:noProof/>
          <w:color w:val="000000"/>
          <w:sz w:val="22"/>
          <w:szCs w:val="22"/>
          <w:shd w:val="clear" w:color="auto" w:fill="FFFFFF"/>
        </w:rPr>
        <w:t>(Aragie &amp; Genanu, 2017; Szabo, 2016)</w:t>
      </w:r>
      <w:r w:rsidR="008E2342">
        <w:rPr>
          <w:color w:val="000000"/>
          <w:sz w:val="22"/>
          <w:szCs w:val="22"/>
          <w:shd w:val="clear" w:color="auto" w:fill="FFFFFF"/>
        </w:rPr>
        <w:fldChar w:fldCharType="end"/>
      </w:r>
      <w:r w:rsidRPr="00FD6193">
        <w:rPr>
          <w:color w:val="000000"/>
          <w:sz w:val="22"/>
          <w:szCs w:val="22"/>
          <w:shd w:val="clear" w:color="auto" w:fill="FFFFFF"/>
        </w:rPr>
        <w:t xml:space="preserve">. The conversion of agricultural land that occurs in urban areas over time will increasingly expand towards the peri-urban areas due to the expansion of the urban area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author":[{"dropping-particle":"","family":"Sudirman","given":"Senthot","non-dropping-particle":"","parse-names":false,"suffix":""}],"container-title":"AGRIKA","id":"ITEM-1","issue":"1","issued":{"date-parts":[["2012"]]},"page":"103-125","title":"Valuasi ekonomi dampak konversi lahan pertanian di pinggiran Kota Yogyakarta","type":"article-journal","volume":"6"},"uris":["http://www.mendeley.com/documents/?uuid=c6214fad-d878-4aed-8e0e-a925860b7749"]}],"mendeley":{"formattedCitation":"(Sudirman, 2012)","plainTextFormattedCitation":"(Sudirman, 2012)","previouslyFormattedCitation":"(Sudirman, 2012)"},"properties":{"noteIndex":0},"schema":"https://github.com/citation-style-language/schema/raw/master/csl-citation.json"}</w:instrText>
      </w:r>
      <w:r w:rsidR="008E2342">
        <w:rPr>
          <w:color w:val="000000"/>
          <w:sz w:val="22"/>
          <w:szCs w:val="22"/>
          <w:shd w:val="clear" w:color="auto" w:fill="FFFFFF"/>
        </w:rPr>
        <w:fldChar w:fldCharType="separate"/>
      </w:r>
      <w:r w:rsidR="008E2342" w:rsidRPr="008E2342">
        <w:rPr>
          <w:noProof/>
          <w:color w:val="000000"/>
          <w:sz w:val="22"/>
          <w:szCs w:val="22"/>
          <w:shd w:val="clear" w:color="auto" w:fill="FFFFFF"/>
        </w:rPr>
        <w:t>(Sudirman, 2012)</w:t>
      </w:r>
      <w:r w:rsidR="008E2342">
        <w:rPr>
          <w:color w:val="000000"/>
          <w:sz w:val="22"/>
          <w:szCs w:val="22"/>
          <w:shd w:val="clear" w:color="auto" w:fill="FFFFFF"/>
        </w:rPr>
        <w:fldChar w:fldCharType="end"/>
      </w:r>
      <w:r w:rsidRPr="00FD6193">
        <w:rPr>
          <w:color w:val="000000"/>
          <w:sz w:val="22"/>
          <w:szCs w:val="22"/>
          <w:shd w:val="clear" w:color="auto" w:fill="FFFFFF"/>
        </w:rPr>
        <w:t xml:space="preserve">. This is a threat to the sustainability of agricultural land in the peri-urban areas. The threat to the sustainability of agricultural land is increasing along with the increasing number of </w:t>
      </w:r>
      <w:r w:rsidRPr="00FD6193">
        <w:rPr>
          <w:color w:val="000000"/>
          <w:sz w:val="22"/>
          <w:szCs w:val="22"/>
          <w:shd w:val="clear" w:color="auto" w:fill="FFFFFF"/>
        </w:rPr>
        <w:lastRenderedPageBreak/>
        <w:t xml:space="preserve">degraded agricultural lands, increasingly rapid population growth, changes in economic structure and urbanization, and the decreasing availability of agricultural labor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{"citationItems":[{"id":"ITEM-1","itemData":{"DOI":"10.1080/1747423X.2014.884643","ISBN":"1747-423X","ISSN":"17474248","abstract":"Rapid urbanization is accelerating the loss of agricultural land in Hanoi (Vietnam), raising concerns about food provision for inner citizens and livelihoods of peri-urban farmers. Understanding how this loss is linked with urban expansion is important to predict impacts of urbanization on peri-urban agriculture. In this paper, we examine the conversion of agricultural land to built-up land in Hanoi by using Landsat images (1993, 2000 and 2007). About one-third of the agricultural land was converted to built-up areas. Agricultural patches tend to be more fragmented and to have irregular shapes. Areal loss, fragmentation and edge irregularity of agricultural land appear to be related to the change from rural status into urban status. Such tendencies of the conversion correspond to urban growth patterns in Hanoi (infill, expansion and linear branches). This study calls for immediate measures to protect agricultural land and accelerate the creation of the green belt in Hanoi.","author":[{"dropping-particle":"","family":"Pham","given":"Van Cu","non-dropping-particle":"","parse-names":false,"suffix":""},{"dropping-particle":"","family":"Pham","given":"Thi Thanh Hiên","non-dropping-particle":"","parse-names":false,"suffix":""},{"dropping-particle":"","family":"Tong","given":"Thi Huyen Ai","non-dropping-particle":"","parse-names":false,"suffix":""},{"dropping-particle":"","family":"Nguyen","given":"Thi Thuy Hang","non-dropping-particle":"","parse-names":false,"suffix":""},{"dropping-particle":"","family":"Pham","given":"Ngoc Hai","non-dropping-particle":"","parse-names":false,"suffix":""}],"container-title":"Journal of Land Use Science","id":"ITEM-1","issue":"2","issued":{"date-parts":[["2015"]]},"page":"224-242","title":"The conversion of agricultural land in the peri-urban areas of Hanoi (Vietnam): Patterns in space and time","type":"article-journal","volume":"10"},"uris":["http://www.mendeley.com/documents/?uuid=c206b729-4276-43e2-829e-2492cd6bcaeb"]},{"id":"ITEM-2","itemData":{"DOI":"10.3390/su10020450","ISSN":"20711050","abstract":"Agriculture land use right transfer (ALURT) is a new policy designed to meet the demand of the sustainable development of agriculture in China. In the Heihe river basin (HRB), ALURT has also recently been introduced to cope with the emerging challenges in agriculture. In this paper, we empirically study the long-term viability of this new policy in HRB using a sustainability assessment. We collect the documents of ALURT contracts, statistical data of ALURT performance, and conduct interviews with its users. The main finding is that the centralized institutional structure of ALURT in HRB compromises its long-term viability. In particular, the power imbalance under the regulation of the intermediate agency, which causes the dissatisfaction of the participants, is threatening the application of the ALURT policy in the long run. Therefore, we suggest that the role of the intermediate agency in ALURT needs to be redefined, to better serve the sustainable development of agriculture in HRB. © 2018 by the authors.","author":[{"dropping-particle":"","family":"Sun","given":"Ye","non-dropping-particle":"","parse-names":false,"suffix":""},{"dropping-particle":"","family":"Akiyama","given":"Tomohiro","non-dropping-particle":"","parse-names":false,"suffix":""}],"container-title":"Sustainability (Switzerland)","id":"ITEM-2","issue":"2","issued":{"date-parts":[["2018"]]},"page":"1-13","title":"An empirical study on sustainable agriculture land use right transfer in the Heihe River Basin","type":"article-journal","volume":"10"},"uris":["http://www.mendeley.com/documents/?uuid=e9cb7af0-db0a-475a-8d9f-8e921e3c32b6"]}],"mendeley":{"formattedCitation":"(Pham, Pham, Tong, Nguyen, &amp; Pham, 2015; Sun &amp; Akiyama, 2018)","manualFormatting":"(Pham et al., 2015; Sun &amp; Akiyama, 2018)","plainTextFormattedCitation":"(Pham, Pham, Tong, Nguyen, &amp; Pham, 2015; Sun &amp; Akiyama, 2018)","previouslyFormattedCitation":"(Pham, Pham, Tong, Nguyen, &amp; Pham, 2015; Sun &amp; Akiyama, 2018)"},"properties":{"noteIndex":0},"schema":"https://github.com/citation-style-language/schema/raw/master/csl-citation.json"}</w:instrText>
      </w:r>
      <w:r w:rsidR="008E2342">
        <w:rPr>
          <w:color w:val="000000"/>
          <w:sz w:val="22"/>
          <w:szCs w:val="22"/>
          <w:shd w:val="clear" w:color="auto" w:fill="FFFFFF"/>
        </w:rPr>
        <w:fldChar w:fldCharType="separate"/>
      </w:r>
      <w:r w:rsidR="008E2342">
        <w:rPr>
          <w:noProof/>
          <w:color w:val="000000"/>
          <w:sz w:val="22"/>
          <w:szCs w:val="22"/>
          <w:shd w:val="clear" w:color="auto" w:fill="FFFFFF"/>
        </w:rPr>
        <w:t>(Pham</w:t>
      </w:r>
      <w:r w:rsidR="008E2342" w:rsidRPr="008E2342">
        <w:rPr>
          <w:noProof/>
          <w:color w:val="000000"/>
          <w:sz w:val="22"/>
          <w:szCs w:val="22"/>
          <w:shd w:val="clear" w:color="auto" w:fill="FFFFFF"/>
        </w:rPr>
        <w:t xml:space="preserve"> </w:t>
      </w:r>
      <w:r w:rsidR="008E2342" w:rsidRPr="008E2342">
        <w:rPr>
          <w:i/>
          <w:noProof/>
          <w:color w:val="000000"/>
          <w:sz w:val="22"/>
          <w:szCs w:val="22"/>
          <w:shd w:val="clear" w:color="auto" w:fill="FFFFFF"/>
        </w:rPr>
        <w:t>et al</w:t>
      </w:r>
      <w:r w:rsidR="008E2342">
        <w:rPr>
          <w:noProof/>
          <w:color w:val="000000"/>
          <w:sz w:val="22"/>
          <w:szCs w:val="22"/>
          <w:shd w:val="clear" w:color="auto" w:fill="FFFFFF"/>
        </w:rPr>
        <w:t>.</w:t>
      </w:r>
      <w:r w:rsidR="008E2342" w:rsidRPr="008E2342">
        <w:rPr>
          <w:noProof/>
          <w:color w:val="000000"/>
          <w:sz w:val="22"/>
          <w:szCs w:val="22"/>
          <w:shd w:val="clear" w:color="auto" w:fill="FFFFFF"/>
        </w:rPr>
        <w:t>, 2015; Sun &amp; Akiyama, 2018)</w:t>
      </w:r>
      <w:r w:rsidR="008E2342">
        <w:rPr>
          <w:color w:val="000000"/>
          <w:sz w:val="22"/>
          <w:szCs w:val="22"/>
          <w:shd w:val="clear" w:color="auto" w:fill="FFFFFF"/>
        </w:rPr>
        <w:fldChar w:fldCharType="end"/>
      </w:r>
      <w:r w:rsidRPr="00FD6193">
        <w:rPr>
          <w:color w:val="000000"/>
          <w:sz w:val="22"/>
          <w:szCs w:val="22"/>
          <w:shd w:val="clear" w:color="auto" w:fill="FFFFFF"/>
        </w:rPr>
        <w:t>.</w:t>
      </w:r>
    </w:p>
    <w:p w:rsidR="002445A8" w:rsidRDefault="005928CB"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Research in Kenya related to farmers’ WTA using a logistic model known factors that positively influence WTA are experience factors, perceptions of the PES program, and income level, while the factors that negatively influence WTA are education level, basic work, and interest in conservation activities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{"citationItems":[{"id":"ITEM-1","itemData":{"DOI":"10.1186/s13717-016-0059-z","ISBN":"2192-1709","ISSN":"21921709","PMID":"14714940","abstract":"Lake Naivasha watershed is recognized for its contribution to Kenya’s national gross domestic product from the export of horticultural products. Commercial horticultural investment downstream depends mainly on the Lake’s water. The fresh water lake lacks surface outflow, and its recharge depends on river Malewa flowing from upper catchment in Aberdare ranges. However, unsustainable land use practices in the upper catchment has led to increasing sediment loading and pollution in river Malewa which affects water quality in the Lake downstream. Payment for Environmental Services (PES) scheme has been initiated as an alternative incentive approach to motivate upstream smallholder farmers adopt sustainable land use practices for conservation of watershed services. This paper analyzes willingness to accept pay (WTA) as proxy economic measure of environmental service (ES) value and determines socio-economic factors influencing farmers WTA for watershed conservation. We analyzed the WTA and characterized WTA underlying socio-economic determinants in two PES intervention sites in Kenya. The objective of this study was to estimate WTA and determine socio-economic factors influencing WTA. Semi-structured questionnaire was used to collect data from 200 PES farmers through face-to-face interview. We applied contingent valuation (CV) and logistic regression for data analyses to elicit farmer’s WTA estimates to implement PES farm practices and determine socio-economic factors influencing WTA, respectively. Results revealed over 90 % of respondents were farmers and 60 % had primary level of education. Average household farm size was 2.305 acres and family size was six members on average. We recorded a monthly marginal household increase in gross income from Kshs. 6891.96 9 (US$68.92) before PES to Kshs. 11,011.48 (US$110.12) with PES interventions. The estimated annual lowest and highest WTA for PES farm practices were at Kshs. 8835 (US$88.35) for grass strip and Kshs. 21,847.500 (US$218.48) for fallowing. Household socio-economic characteristics had significant influence on WTA among farmers. The study revealed heterogeneity in WTA estimates among PES implementing farmers. The WTA reflects opportunity cost to farmers. We recommend PES mechanism as a policy tool to internalize negative watershed externalities to provide ecosystem services.","author":[{"dropping-particle":"","family":"Nyongesa","given":"J. M.","non-dropping-particle":"","parse-names":false,"suffix":""},{"dropping-particle":"","family":"Bett","given":"H. K.","non-dropping-particle":"","parse-names":false,"suffix":""},{"dropping-particle":"","family":"Lagat","given":"J. K.","non-dropping-particle":"","parse-names":false,"suffix":""},{"dropping-particle":"","family":"Ayuya","given":"O. I.","non-dropping-particle":"","parse-names":false,"suffix":""}],"container-title":"Ecological Processes","id":"ITEM-1","issue":"1","issued":{"date-parts":[["2016"]]},"page":"1-15","publisher":"Ecological Processes","title":"Estimating farmers’ stated willingness to accept pay for ecosystem services: Case of Lake Naivasha watershed Payment for Ecosystem Services scheme-Kenya","type":"article-journal","volume":"5"},"uris":["http://www.mendeley.com/documents/?uuid=6b436f09-e860-4b80-8825-0434d11f5c6e"]}],"mendeley":{"formattedCitation":"(Nyongesa, Bett, Lagat, &amp; Ayuya, 2016)","manualFormatting":"(Nyongesa et al., 2016)","plainTextFormattedCitation":"(Nyongesa, Bett, Lagat, &amp; Ayuya, 2016)","previouslyFormattedCitation":"(Nyongesa, Bett, Lagat, &amp; Ayuya, 2016)"},"properties":{"noteIndex":0},"schema":"https://github.com/citation-style-language/schema/raw/master/csl-citation.json"}</w:instrText>
      </w:r>
      <w:r w:rsidR="008E2342">
        <w:rPr>
          <w:color w:val="000000"/>
          <w:sz w:val="22"/>
          <w:szCs w:val="22"/>
          <w:shd w:val="clear" w:color="auto" w:fill="FFFFFF"/>
        </w:rPr>
        <w:fldChar w:fldCharType="separate"/>
      </w:r>
      <w:r w:rsidR="008E2342">
        <w:rPr>
          <w:noProof/>
          <w:color w:val="000000"/>
          <w:sz w:val="22"/>
          <w:szCs w:val="22"/>
          <w:shd w:val="clear" w:color="auto" w:fill="FFFFFF"/>
        </w:rPr>
        <w:t xml:space="preserve">(Nyongesa </w:t>
      </w:r>
      <w:r w:rsidR="008E2342">
        <w:rPr>
          <w:i/>
          <w:noProof/>
          <w:color w:val="000000"/>
          <w:sz w:val="22"/>
          <w:szCs w:val="22"/>
          <w:shd w:val="clear" w:color="auto" w:fill="FFFFFF"/>
        </w:rPr>
        <w:t>et al.</w:t>
      </w:r>
      <w:r w:rsidR="008E2342" w:rsidRPr="008E2342">
        <w:rPr>
          <w:noProof/>
          <w:color w:val="000000"/>
          <w:sz w:val="22"/>
          <w:szCs w:val="22"/>
          <w:shd w:val="clear" w:color="auto" w:fill="FFFFFF"/>
        </w:rPr>
        <w:t>, 2016)</w:t>
      </w:r>
      <w:r w:rsidR="008E2342">
        <w:rPr>
          <w:color w:val="000000"/>
          <w:sz w:val="22"/>
          <w:szCs w:val="22"/>
          <w:shd w:val="clear" w:color="auto" w:fill="FFFFFF"/>
        </w:rPr>
        <w:fldChar w:fldCharType="end"/>
      </w:r>
      <w:r w:rsidRPr="00FD6193">
        <w:rPr>
          <w:color w:val="000000"/>
          <w:sz w:val="22"/>
          <w:szCs w:val="22"/>
          <w:shd w:val="clear" w:color="auto" w:fill="FFFFFF"/>
        </w:rPr>
        <w:t xml:space="preserve">. Research in China concluded that farmers with a higher level of attention and awareness on the environmental conditions of paddy fields in Lake Poyang tend to have WTA values for lower ecological compensation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DOI":"10.5814/j.issn.1674-764x.2018.04.008","ISSN":"1674-764X","author":[{"dropping-particle":"","family":"Jiaran","given":"Wang","non-dropping-particle":"","parse-names":false,"suffix":""},{"dropping-particle":"","family":"Moucheng","given":"Liu","non-dropping-particle":"","parse-names":false,"suffix":""},{"dropping-particle":"","family":"Lun","given":"Yang","non-dropping-particle":"","parse-names":false,"suffix":""},{"dropping-particle":"","family":"Qingwen","given":"Min","non-dropping-particle":"","parse-names":false,"suffix":""}],"container-title":"Journal of Resources and Ecology","id":"ITEM-1","issue":"4","issued":{"date-parts":[["2018"]]},"page":"407-415","title":"Factors affecting the willingness of farmers to accept eco-compensation in the Qianxi Chestnut Agroforestry System, Hebei","type":"article-journal","volume":"9"},"uris":["http://www.mendeley.com/documents/?uuid=df0d5f81-4584-49f9-96d7-18325df3f235"]}],"mendeley":{"formattedCitation":"(Jiaran, Moucheng, Lun, &amp; Qingwen, 2018)","manualFormatting":"(Jiaran, et al., 2018)","plainTextFormattedCitation":"(Jiaran, Moucheng, Lun, &amp; Qingwen, 2018)","previouslyFormattedCitation":"(Jiaran, Moucheng, Lun, &amp; Qingwen, 2018)"},"properties":{"noteIndex":0},"schema":"https://github.com/citation-style-language/schema/raw/master/csl-citation.json"}</w:instrText>
      </w:r>
      <w:r w:rsidR="008E2342">
        <w:rPr>
          <w:color w:val="000000"/>
          <w:sz w:val="22"/>
          <w:szCs w:val="22"/>
          <w:shd w:val="clear" w:color="auto" w:fill="FFFFFF"/>
        </w:rPr>
        <w:fldChar w:fldCharType="separate"/>
      </w:r>
      <w:r w:rsidR="008E2342" w:rsidRPr="008E2342">
        <w:rPr>
          <w:noProof/>
          <w:color w:val="000000"/>
          <w:sz w:val="22"/>
          <w:szCs w:val="22"/>
          <w:shd w:val="clear" w:color="auto" w:fill="FFFFFF"/>
        </w:rPr>
        <w:t xml:space="preserve">(Jiaran, </w:t>
      </w:r>
      <w:r w:rsidR="008E2342">
        <w:rPr>
          <w:i/>
          <w:noProof/>
          <w:color w:val="000000"/>
          <w:sz w:val="22"/>
          <w:szCs w:val="22"/>
          <w:shd w:val="clear" w:color="auto" w:fill="FFFFFF"/>
        </w:rPr>
        <w:t>et al.</w:t>
      </w:r>
      <w:r w:rsidR="008E2342" w:rsidRPr="008E2342">
        <w:rPr>
          <w:noProof/>
          <w:color w:val="000000"/>
          <w:sz w:val="22"/>
          <w:szCs w:val="22"/>
          <w:shd w:val="clear" w:color="auto" w:fill="FFFFFF"/>
        </w:rPr>
        <w:t>, 2018)</w:t>
      </w:r>
      <w:r w:rsidR="008E2342">
        <w:rPr>
          <w:color w:val="000000"/>
          <w:sz w:val="22"/>
          <w:szCs w:val="22"/>
          <w:shd w:val="clear" w:color="auto" w:fill="FFFFFF"/>
        </w:rPr>
        <w:fldChar w:fldCharType="end"/>
      </w:r>
      <w:r w:rsidRPr="00FD6193">
        <w:rPr>
          <w:color w:val="000000"/>
          <w:sz w:val="22"/>
          <w:szCs w:val="22"/>
          <w:shd w:val="clear" w:color="auto" w:fill="FFFFFF"/>
        </w:rPr>
        <w:t>. Research in Brazil concluded that farmers'</w:t>
      </w:r>
      <w:r w:rsidR="00E05D3B" w:rsidRPr="00FD6193">
        <w:rPr>
          <w:color w:val="000000"/>
          <w:sz w:val="22"/>
          <w:szCs w:val="22"/>
          <w:shd w:val="clear" w:color="auto" w:fill="FFFFFF"/>
        </w:rPr>
        <w:t xml:space="preserve"> </w:t>
      </w:r>
      <w:r w:rsidRPr="00FD6193">
        <w:rPr>
          <w:color w:val="000000"/>
          <w:sz w:val="22"/>
          <w:szCs w:val="22"/>
          <w:shd w:val="clear" w:color="auto" w:fill="FFFFFF"/>
        </w:rPr>
        <w:t xml:space="preserve">decision to receive environmental services was influenced by farmers' perceptions of their environmental conditions </w:t>
      </w:r>
      <w:r w:rsidR="008E2342">
        <w:rPr>
          <w:color w:val="000000"/>
          <w:sz w:val="22"/>
          <w:szCs w:val="22"/>
          <w:shd w:val="clear" w:color="auto" w:fill="FFFFFF"/>
        </w:rPr>
        <w:fldChar w:fldCharType="begin" w:fldLock="1"/>
      </w:r>
      <w:r w:rsidR="008E2342">
        <w:rPr>
          <w:color w:val="000000"/>
          <w:sz w:val="22"/>
          <w:szCs w:val="22"/>
          <w:shd w:val="clear" w:color="auto" w:fill="FFFFFF"/>
        </w:rPr>
        <w:instrText>ADDIN CSL_CITATION {"citationItems":[{"id":"ITEM-1","itemData":{"DOI":"10.1016/j.ecolecon.2018.01.032","ISSN":"09218009","abstract":"This study analyzes the willingness of farmers to accept payments for ecosystem services in the Paraíba do Sul River basin applying a contingent valuation methodology. Ecosystem services would be those resulting from forest conservation and regeneration and sustainable and innovative production practices. The results suggest a regressive bias when some variables that capture the income effect positively affect participation in the program and acceptance of the payment offered. There is also evidence of adverse selection when acceptance of the amount offered is more sensitive to the service provision already being suited to the modes of production adopted. The results, on the other hand, indicate that farmers' decisions to join the program depend not only on their opportunity costs, but also on their perceptions about specific issues, such as their environmental knowledge or awareness, inertia to change production modes, fear of additional monitoring, and level of understanding of the program. These results are important to support the program's outreach strategies and the design of mechanisms for the selection of beneficiaries and pricing of payments.","author":[{"dropping-particle":"da","family":"Motta","given":"Ronaldo Seroa","non-dropping-particle":"","parse-names":false,"suffix":""},{"dropping-particle":"","family":"Ortiz","given":"Ramon Arigoni","non-dropping-particle":"","parse-names":false,"suffix":""}],"container-title":"Ecological Economics","id":"ITEM-1","issue":"May 2017","issued":{"date-parts":[["2018"]]},"page":"333-342","publisher":"Elsevier","title":"Costs and perceptions conditioning willingness to accept payments for ecosystem services in a Brazilian Case","type":"article-journal","volume":"147"},"uris":["http://www.mendeley.com/documents/?uuid=4fed98e0-11aa-4076-aa26-de0453609e0d"]}],"mendeley":{"formattedCitation":"(Motta &amp; Ortiz, 2018)","plainTextFormattedCitation":"(Motta &amp; Ortiz, 2018)","previouslyFormattedCitation":"(Motta &amp; Ortiz, 2018)"},"properties":{"noteIndex":0},"schema":"https://github.com/citation-style-language/schema/raw/master/csl-citation.json"}</w:instrText>
      </w:r>
      <w:r w:rsidR="008E2342">
        <w:rPr>
          <w:color w:val="000000"/>
          <w:sz w:val="22"/>
          <w:szCs w:val="22"/>
          <w:shd w:val="clear" w:color="auto" w:fill="FFFFFF"/>
        </w:rPr>
        <w:fldChar w:fldCharType="separate"/>
      </w:r>
      <w:r w:rsidR="008E2342" w:rsidRPr="008E2342">
        <w:rPr>
          <w:noProof/>
          <w:color w:val="000000"/>
          <w:sz w:val="22"/>
          <w:szCs w:val="22"/>
          <w:shd w:val="clear" w:color="auto" w:fill="FFFFFF"/>
        </w:rPr>
        <w:t>(Motta &amp; Ortiz, 2018)</w:t>
      </w:r>
      <w:r w:rsidR="008E2342">
        <w:rPr>
          <w:color w:val="000000"/>
          <w:sz w:val="22"/>
          <w:szCs w:val="22"/>
          <w:shd w:val="clear" w:color="auto" w:fill="FFFFFF"/>
        </w:rPr>
        <w:fldChar w:fldCharType="end"/>
      </w:r>
      <w:r w:rsidRPr="00FD6193">
        <w:rPr>
          <w:color w:val="000000"/>
          <w:sz w:val="22"/>
          <w:szCs w:val="22"/>
          <w:shd w:val="clear" w:color="auto" w:fill="FFFFFF"/>
        </w:rPr>
        <w:t xml:space="preserve">. </w:t>
      </w:r>
    </w:p>
    <w:p w:rsidR="005928CB" w:rsidRPr="00FD6193" w:rsidRDefault="005928CB"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The previous research </w:t>
      </w:r>
      <w:r w:rsidR="00BC6431" w:rsidRPr="00FD6193">
        <w:rPr>
          <w:color w:val="000000"/>
          <w:sz w:val="22"/>
          <w:szCs w:val="22"/>
          <w:shd w:val="clear" w:color="auto" w:fill="FFFFFF"/>
        </w:rPr>
        <w:t xml:space="preserve">which </w:t>
      </w:r>
      <w:r w:rsidR="00E05D3B" w:rsidRPr="00FD6193">
        <w:rPr>
          <w:color w:val="000000"/>
          <w:sz w:val="22"/>
          <w:szCs w:val="22"/>
          <w:shd w:val="clear" w:color="auto" w:fill="FFFFFF"/>
        </w:rPr>
        <w:t xml:space="preserve">was </w:t>
      </w:r>
      <w:r w:rsidRPr="00FD6193">
        <w:rPr>
          <w:color w:val="000000"/>
          <w:sz w:val="22"/>
          <w:szCs w:val="22"/>
          <w:shd w:val="clear" w:color="auto" w:fill="FFFFFF"/>
        </w:rPr>
        <w:t xml:space="preserve">carried out assesses WTA in different case studies. In this study, farmers’ WTA will be assessed to determine the willingness of farmers to protect their agricultural land that </w:t>
      </w:r>
      <w:r w:rsidR="00E05D3B" w:rsidRPr="00FD6193">
        <w:rPr>
          <w:color w:val="000000"/>
          <w:sz w:val="22"/>
          <w:szCs w:val="22"/>
          <w:shd w:val="clear" w:color="auto" w:fill="FFFFFF"/>
        </w:rPr>
        <w:t>is</w:t>
      </w:r>
      <w:r w:rsidR="00BC6431" w:rsidRPr="00FD6193">
        <w:rPr>
          <w:color w:val="000000"/>
          <w:sz w:val="22"/>
          <w:szCs w:val="22"/>
          <w:shd w:val="clear" w:color="auto" w:fill="FFFFFF"/>
        </w:rPr>
        <w:t xml:space="preserve"> </w:t>
      </w:r>
      <w:r w:rsidRPr="00FD6193">
        <w:rPr>
          <w:color w:val="000000"/>
          <w:sz w:val="22"/>
          <w:szCs w:val="22"/>
          <w:shd w:val="clear" w:color="auto" w:fill="FFFFFF"/>
        </w:rPr>
        <w:t>owned and managed in the peri-urban areas of Pekalongan City. In addition, the analysis tool</w:t>
      </w:r>
      <w:r w:rsidR="00BC6431" w:rsidRPr="00FD6193">
        <w:rPr>
          <w:color w:val="000000"/>
          <w:sz w:val="22"/>
          <w:szCs w:val="22"/>
          <w:shd w:val="clear" w:color="auto" w:fill="FFFFFF"/>
        </w:rPr>
        <w:t xml:space="preserve"> used in the previous study was</w:t>
      </w:r>
      <w:r w:rsidRPr="00FD6193">
        <w:rPr>
          <w:color w:val="000000"/>
          <w:sz w:val="22"/>
          <w:szCs w:val="22"/>
          <w:shd w:val="clear" w:color="auto" w:fill="FFFFFF"/>
        </w:rPr>
        <w:t xml:space="preserve"> the OLS model, while in this study</w:t>
      </w:r>
      <w:r w:rsidR="008E2342">
        <w:rPr>
          <w:color w:val="000000"/>
          <w:sz w:val="22"/>
          <w:szCs w:val="22"/>
          <w:shd w:val="clear" w:color="auto" w:fill="FFFFFF"/>
        </w:rPr>
        <w:t>,</w:t>
      </w:r>
      <w:r w:rsidRPr="00FD6193">
        <w:rPr>
          <w:color w:val="000000"/>
          <w:sz w:val="22"/>
          <w:szCs w:val="22"/>
          <w:shd w:val="clear" w:color="auto" w:fill="FFFFFF"/>
        </w:rPr>
        <w:t xml:space="preserve"> the two-stage Heckman model approach was used to determine the factors that influence farmers' decisions to receive or reject a compensation </w:t>
      </w:r>
      <w:r w:rsidR="008E2342">
        <w:rPr>
          <w:color w:val="000000"/>
          <w:sz w:val="22"/>
          <w:szCs w:val="22"/>
          <w:shd w:val="clear" w:color="auto" w:fill="FFFFFF"/>
        </w:rPr>
        <w:t xml:space="preserve">(WTA) </w:t>
      </w:r>
      <w:r w:rsidRPr="00FD6193">
        <w:rPr>
          <w:color w:val="000000"/>
          <w:sz w:val="22"/>
          <w:szCs w:val="22"/>
          <w:shd w:val="clear" w:color="auto" w:fill="FFFFFF"/>
        </w:rPr>
        <w:t>and f</w:t>
      </w:r>
      <w:r w:rsidR="003354E0">
        <w:rPr>
          <w:color w:val="000000"/>
          <w:sz w:val="22"/>
          <w:szCs w:val="22"/>
          <w:shd w:val="clear" w:color="auto" w:fill="FFFFFF"/>
        </w:rPr>
        <w:t>actors that influence the value</w:t>
      </w:r>
      <w:r w:rsidRPr="00FD6193">
        <w:rPr>
          <w:color w:val="000000"/>
          <w:sz w:val="22"/>
          <w:szCs w:val="22"/>
          <w:shd w:val="clear" w:color="auto" w:fill="FFFFFF"/>
        </w:rPr>
        <w:t xml:space="preserve"> of farmers</w:t>
      </w:r>
      <w:r w:rsidR="008E2342">
        <w:rPr>
          <w:color w:val="000000"/>
          <w:sz w:val="22"/>
          <w:szCs w:val="22"/>
          <w:shd w:val="clear" w:color="auto" w:fill="FFFFFF"/>
        </w:rPr>
        <w:t>’</w:t>
      </w:r>
      <w:r w:rsidRPr="00FD6193">
        <w:rPr>
          <w:color w:val="000000"/>
          <w:sz w:val="22"/>
          <w:szCs w:val="22"/>
          <w:shd w:val="clear" w:color="auto" w:fill="FFFFFF"/>
        </w:rPr>
        <w:t xml:space="preserve"> WTA in the peri-urban areas of Pekalongan City. Therefore, this research was conducted with the ai</w:t>
      </w:r>
      <w:r w:rsidR="003354E0">
        <w:rPr>
          <w:color w:val="000000"/>
          <w:sz w:val="22"/>
          <w:szCs w:val="22"/>
          <w:shd w:val="clear" w:color="auto" w:fill="FFFFFF"/>
        </w:rPr>
        <w:t>m</w:t>
      </w:r>
      <w:r w:rsidR="00231680" w:rsidRPr="00FD6193">
        <w:rPr>
          <w:color w:val="000000"/>
          <w:sz w:val="22"/>
          <w:szCs w:val="22"/>
          <w:shd w:val="clear" w:color="auto" w:fill="FFFFFF"/>
        </w:rPr>
        <w:t xml:space="preserve"> 1) </w:t>
      </w:r>
      <w:r w:rsidR="00953192" w:rsidRPr="00FD6193">
        <w:rPr>
          <w:color w:val="000000"/>
          <w:sz w:val="22"/>
          <w:szCs w:val="22"/>
          <w:shd w:val="clear" w:color="auto" w:fill="FFFFFF"/>
        </w:rPr>
        <w:t xml:space="preserve">to </w:t>
      </w:r>
      <w:r w:rsidR="00231680" w:rsidRPr="00FD6193">
        <w:rPr>
          <w:color w:val="000000"/>
          <w:sz w:val="22"/>
          <w:szCs w:val="22"/>
          <w:shd w:val="clear" w:color="auto" w:fill="FFFFFF"/>
        </w:rPr>
        <w:t>know</w:t>
      </w:r>
      <w:r w:rsidRPr="00FD6193">
        <w:rPr>
          <w:color w:val="000000"/>
          <w:sz w:val="22"/>
          <w:szCs w:val="22"/>
          <w:shd w:val="clear" w:color="auto" w:fill="FFFFFF"/>
        </w:rPr>
        <w:t xml:space="preserve"> the WTA value of farmers to be willing to protect the sustainability of agricultural land in the peri-urban area</w:t>
      </w:r>
      <w:r w:rsidR="00231680" w:rsidRPr="00FD6193">
        <w:rPr>
          <w:color w:val="000000"/>
          <w:sz w:val="22"/>
          <w:szCs w:val="22"/>
          <w:shd w:val="clear" w:color="auto" w:fill="FFFFFF"/>
        </w:rPr>
        <w:t xml:space="preserve">s of Pekalongan City, 2) </w:t>
      </w:r>
      <w:r w:rsidR="00953192" w:rsidRPr="00FD6193">
        <w:rPr>
          <w:color w:val="000000"/>
          <w:sz w:val="22"/>
          <w:szCs w:val="22"/>
          <w:shd w:val="clear" w:color="auto" w:fill="FFFFFF"/>
        </w:rPr>
        <w:t xml:space="preserve">to </w:t>
      </w:r>
      <w:r w:rsidR="00231680" w:rsidRPr="00FD6193">
        <w:rPr>
          <w:color w:val="000000"/>
          <w:sz w:val="22"/>
          <w:szCs w:val="22"/>
          <w:shd w:val="clear" w:color="auto" w:fill="FFFFFF"/>
        </w:rPr>
        <w:t>know</w:t>
      </w:r>
      <w:r w:rsidRPr="00FD6193">
        <w:rPr>
          <w:color w:val="000000"/>
          <w:sz w:val="22"/>
          <w:szCs w:val="22"/>
          <w:shd w:val="clear" w:color="auto" w:fill="FFFFFF"/>
        </w:rPr>
        <w:t xml:space="preserve"> the factors that influence farmers' decision to rej</w:t>
      </w:r>
      <w:r w:rsidR="00231680" w:rsidRPr="00FD6193">
        <w:rPr>
          <w:color w:val="000000"/>
          <w:sz w:val="22"/>
          <w:szCs w:val="22"/>
          <w:shd w:val="clear" w:color="auto" w:fill="FFFFFF"/>
        </w:rPr>
        <w:t xml:space="preserve">ect / accept WTA, and 3) </w:t>
      </w:r>
      <w:r w:rsidR="00953192" w:rsidRPr="00FD6193">
        <w:rPr>
          <w:color w:val="000000"/>
          <w:sz w:val="22"/>
          <w:szCs w:val="22"/>
          <w:shd w:val="clear" w:color="auto" w:fill="FFFFFF"/>
        </w:rPr>
        <w:t xml:space="preserve">to </w:t>
      </w:r>
      <w:r w:rsidR="00231680" w:rsidRPr="00FD6193">
        <w:rPr>
          <w:color w:val="000000"/>
          <w:sz w:val="22"/>
          <w:szCs w:val="22"/>
          <w:shd w:val="clear" w:color="auto" w:fill="FFFFFF"/>
        </w:rPr>
        <w:t>know</w:t>
      </w:r>
      <w:r w:rsidRPr="00FD6193">
        <w:rPr>
          <w:color w:val="000000"/>
          <w:sz w:val="22"/>
          <w:szCs w:val="22"/>
          <w:shd w:val="clear" w:color="auto" w:fill="FFFFFF"/>
        </w:rPr>
        <w:t xml:space="preserve"> th</w:t>
      </w:r>
      <w:r w:rsidR="003354E0">
        <w:rPr>
          <w:color w:val="000000"/>
          <w:sz w:val="22"/>
          <w:szCs w:val="22"/>
          <w:shd w:val="clear" w:color="auto" w:fill="FFFFFF"/>
        </w:rPr>
        <w:t>e factors that affect the value</w:t>
      </w:r>
      <w:r w:rsidRPr="00FD6193">
        <w:rPr>
          <w:color w:val="000000"/>
          <w:sz w:val="22"/>
          <w:szCs w:val="22"/>
          <w:shd w:val="clear" w:color="auto" w:fill="FFFFFF"/>
        </w:rPr>
        <w:t xml:space="preserve"> of farmers’ WTA in the peri-urban areas of Pekalongan City.</w:t>
      </w:r>
    </w:p>
    <w:p w:rsidR="003A45C1" w:rsidRPr="00FD6193" w:rsidRDefault="003A45C1" w:rsidP="001841D7">
      <w:pPr>
        <w:autoSpaceDE w:val="0"/>
        <w:autoSpaceDN w:val="0"/>
        <w:adjustRightInd w:val="0"/>
        <w:spacing w:line="276" w:lineRule="auto"/>
        <w:jc w:val="both"/>
        <w:rPr>
          <w:color w:val="000000"/>
          <w:sz w:val="22"/>
          <w:szCs w:val="22"/>
          <w:shd w:val="clear" w:color="auto" w:fill="FFFFFF"/>
        </w:rPr>
      </w:pPr>
    </w:p>
    <w:p w:rsidR="00440ED5" w:rsidRPr="00FD6193" w:rsidRDefault="00440ED5" w:rsidP="001841D7">
      <w:pPr>
        <w:autoSpaceDE w:val="0"/>
        <w:autoSpaceDN w:val="0"/>
        <w:adjustRightInd w:val="0"/>
        <w:spacing w:line="276" w:lineRule="auto"/>
        <w:jc w:val="both"/>
        <w:rPr>
          <w:b/>
          <w:color w:val="000000"/>
          <w:sz w:val="22"/>
          <w:szCs w:val="22"/>
        </w:rPr>
      </w:pPr>
      <w:r w:rsidRPr="00FD6193">
        <w:rPr>
          <w:b/>
          <w:color w:val="000000"/>
          <w:sz w:val="22"/>
          <w:szCs w:val="22"/>
        </w:rPr>
        <w:t>METHODS</w:t>
      </w:r>
    </w:p>
    <w:p w:rsidR="003A45C1" w:rsidRPr="00FD6193" w:rsidRDefault="003A45C1"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The research location is </w:t>
      </w:r>
      <w:r w:rsidR="0002193A" w:rsidRPr="00FD6193">
        <w:rPr>
          <w:color w:val="000000"/>
          <w:sz w:val="22"/>
          <w:szCs w:val="22"/>
          <w:shd w:val="clear" w:color="auto" w:fill="FFFFFF"/>
        </w:rPr>
        <w:t>sited</w:t>
      </w:r>
      <w:r w:rsidRPr="00FD6193">
        <w:rPr>
          <w:color w:val="000000"/>
          <w:sz w:val="22"/>
          <w:szCs w:val="22"/>
          <w:shd w:val="clear" w:color="auto" w:fill="FFFFFF"/>
        </w:rPr>
        <w:t xml:space="preserve"> in the peri-urban areas of Pekalongan City, Central Java Province. The peri-urban </w:t>
      </w:r>
      <w:r w:rsidR="0002193A" w:rsidRPr="00FD6193">
        <w:rPr>
          <w:color w:val="000000"/>
          <w:sz w:val="22"/>
          <w:szCs w:val="22"/>
          <w:shd w:val="clear" w:color="auto" w:fill="FFFFFF"/>
        </w:rPr>
        <w:t>areas of Pekalongan City we</w:t>
      </w:r>
      <w:r w:rsidRPr="00FD6193">
        <w:rPr>
          <w:color w:val="000000"/>
          <w:sz w:val="22"/>
          <w:szCs w:val="22"/>
          <w:shd w:val="clear" w:color="auto" w:fill="FFFFFF"/>
        </w:rPr>
        <w:t xml:space="preserve">re determined as the location of the study </w:t>
      </w:r>
      <w:r w:rsidR="00B917EE" w:rsidRPr="00FD6193">
        <w:rPr>
          <w:color w:val="000000"/>
          <w:sz w:val="22"/>
          <w:szCs w:val="22"/>
          <w:shd w:val="clear" w:color="auto" w:fill="FFFFFF"/>
        </w:rPr>
        <w:t xml:space="preserve">by </w:t>
      </w:r>
      <w:r w:rsidRPr="00FD6193">
        <w:rPr>
          <w:color w:val="000000"/>
          <w:sz w:val="22"/>
          <w:szCs w:val="22"/>
          <w:shd w:val="clear" w:color="auto" w:fill="FFFFFF"/>
        </w:rPr>
        <w:t>using the purposive sampling method. The reason for the peri-urban areas of Pekalongan City was chosen as the location of the study</w:t>
      </w:r>
      <w:r w:rsidR="00E05D3B" w:rsidRPr="00FD6193">
        <w:rPr>
          <w:color w:val="000000"/>
          <w:sz w:val="22"/>
          <w:szCs w:val="22"/>
          <w:shd w:val="clear" w:color="auto" w:fill="FFFFFF"/>
        </w:rPr>
        <w:t xml:space="preserve"> was</w:t>
      </w:r>
      <w:r w:rsidRPr="00FD6193">
        <w:rPr>
          <w:color w:val="000000"/>
          <w:sz w:val="22"/>
          <w:szCs w:val="22"/>
          <w:shd w:val="clear" w:color="auto" w:fill="FFFFFF"/>
        </w:rPr>
        <w:t xml:space="preserve"> because Pekalongan City experienced massive and consistent conversion of agri</w:t>
      </w:r>
      <w:r w:rsidR="00780F4C">
        <w:rPr>
          <w:color w:val="000000"/>
          <w:sz w:val="22"/>
          <w:szCs w:val="22"/>
          <w:shd w:val="clear" w:color="auto" w:fill="FFFFFF"/>
        </w:rPr>
        <w:t xml:space="preserve">cultural land from 1989 to 2017 </w:t>
      </w:r>
      <w:r w:rsidR="003354E0">
        <w:rPr>
          <w:color w:val="000000"/>
          <w:sz w:val="22"/>
          <w:szCs w:val="22"/>
          <w:shd w:val="clear" w:color="auto" w:fill="FFFFFF"/>
        </w:rPr>
        <w:fldChar w:fldCharType="begin" w:fldLock="1"/>
      </w:r>
      <w:r w:rsidR="003354E0">
        <w:rPr>
          <w:color w:val="000000"/>
          <w:sz w:val="22"/>
          <w:szCs w:val="22"/>
          <w:shd w:val="clear" w:color="auto" w:fill="FFFFFF"/>
        </w:rPr>
        <w:instrText>ADDIN CSL_CITATION {"citationItems":[{"id":"ITEM-1","itemData":{"author":[{"dropping-particle":"","family":"BPS","given":"","non-dropping-particle":"","parse-names":false,"suffix":""}],"id":"ITEM-1","issued":{"date-parts":[["2018"]]},"publisher":"Badan Pusat Statistik Kota Pekalongan","publisher-place":"Kota Pekalongan, Jawa Tengah","title":"Kota Pekalongan Dalam Angka","type":"book"},"uris":["http://www.mendeley.com/documents/?uuid=3a1b23e9-0be2-4957-8d92-cbf78731bc1d"]}],"mendeley":{"formattedCitation":"(BPS, 2018)","plainTextFormattedCitation":"(BPS, 2018)","previouslyFormattedCitation":"(BPS, 2018)"},"properties":{"noteIndex":0},"schema":"https://github.com/citation-style-language/schema/raw/master/csl-citation.json"}</w:instrText>
      </w:r>
      <w:r w:rsidR="003354E0">
        <w:rPr>
          <w:color w:val="000000"/>
          <w:sz w:val="22"/>
          <w:szCs w:val="22"/>
          <w:shd w:val="clear" w:color="auto" w:fill="FFFFFF"/>
        </w:rPr>
        <w:fldChar w:fldCharType="separate"/>
      </w:r>
      <w:r w:rsidR="003354E0" w:rsidRPr="003354E0">
        <w:rPr>
          <w:noProof/>
          <w:color w:val="000000"/>
          <w:sz w:val="22"/>
          <w:szCs w:val="22"/>
          <w:shd w:val="clear" w:color="auto" w:fill="FFFFFF"/>
        </w:rPr>
        <w:t>(BPS, 2018)</w:t>
      </w:r>
      <w:r w:rsidR="003354E0">
        <w:rPr>
          <w:color w:val="000000"/>
          <w:sz w:val="22"/>
          <w:szCs w:val="22"/>
          <w:shd w:val="clear" w:color="auto" w:fill="FFFFFF"/>
        </w:rPr>
        <w:fldChar w:fldCharType="end"/>
      </w:r>
      <w:r w:rsidRPr="00FD6193">
        <w:rPr>
          <w:color w:val="000000"/>
          <w:sz w:val="22"/>
          <w:szCs w:val="22"/>
          <w:shd w:val="clear" w:color="auto" w:fill="FFFFFF"/>
        </w:rPr>
        <w:t xml:space="preserve">. The number of respondents in this study was determined </w:t>
      </w:r>
      <w:r w:rsidR="00B917EE" w:rsidRPr="00FD6193">
        <w:rPr>
          <w:color w:val="000000"/>
          <w:sz w:val="22"/>
          <w:szCs w:val="22"/>
          <w:shd w:val="clear" w:color="auto" w:fill="FFFFFF"/>
        </w:rPr>
        <w:t xml:space="preserve">by </w:t>
      </w:r>
      <w:r w:rsidRPr="00FD6193">
        <w:rPr>
          <w:color w:val="000000"/>
          <w:sz w:val="22"/>
          <w:szCs w:val="22"/>
          <w:shd w:val="clear" w:color="auto" w:fill="FFFFFF"/>
        </w:rPr>
        <w:t xml:space="preserve">using the Slovin formula as follows </w:t>
      </w:r>
      <w:r w:rsidR="003354E0">
        <w:rPr>
          <w:color w:val="000000"/>
          <w:sz w:val="22"/>
          <w:szCs w:val="22"/>
          <w:shd w:val="clear" w:color="auto" w:fill="FFFFFF"/>
        </w:rPr>
        <w:fldChar w:fldCharType="begin" w:fldLock="1"/>
      </w:r>
      <w:r w:rsidR="00236827">
        <w:rPr>
          <w:color w:val="000000"/>
          <w:sz w:val="22"/>
          <w:szCs w:val="22"/>
          <w:shd w:val="clear" w:color="auto" w:fill="FFFFFF"/>
        </w:rPr>
        <w:instrText>ADDIN CSL_CITATION {"citationItems":[{"id":"ITEM-1","itemData":{"author":[{"dropping-particle":"","family":"Haryanto","given":"Lorenta In","non-dropping-particle":"","parse-names":false,"suffix":""},{"dropping-particle":"","family":"Masyhuri","given":"Masyhuri","non-dropping-particle":"","parse-names":false,"suffix":""},{"dropping-particle":"","family":"Irham","given":"","non-dropping-particle":"","parse-names":false,"suffix":""}],"container-title":"Jurnal Agro Ekonomi","id":"ITEM-1","issue":"2","issued":{"date-parts":[["2018"]]},"page":"244-260","title":"The policy analysis matrix in measuring competitiveness of maize farming system in marginal areas","type":"article-journal","volume":"29"},"uris":["http://www.mendeley.com/documents/?uuid=0f7c608d-7422-4c35-a1e9-e98aa4ae9fb8"]}],"mendeley":{"formattedCitation":"(Haryanto, Masyhuri, &amp; Irham, 2018)","manualFormatting":"(Haryanto et al., 2018)","plainTextFormattedCitation":"(Haryanto, Masyhuri, &amp; Irham, 2018)","previouslyFormattedCitation":"(Haryanto, Masyhuri, &amp; Irham, 2018)"},"properties":{"noteIndex":0},"schema":"https://github.com/citation-style-language/schema/raw/master/csl-citation.json"}</w:instrText>
      </w:r>
      <w:r w:rsidR="003354E0">
        <w:rPr>
          <w:color w:val="000000"/>
          <w:sz w:val="22"/>
          <w:szCs w:val="22"/>
          <w:shd w:val="clear" w:color="auto" w:fill="FFFFFF"/>
        </w:rPr>
        <w:fldChar w:fldCharType="separate"/>
      </w:r>
      <w:r w:rsidR="003354E0">
        <w:rPr>
          <w:noProof/>
          <w:color w:val="000000"/>
          <w:sz w:val="22"/>
          <w:szCs w:val="22"/>
          <w:shd w:val="clear" w:color="auto" w:fill="FFFFFF"/>
        </w:rPr>
        <w:t>(Haryanto</w:t>
      </w:r>
      <w:r w:rsidR="003354E0" w:rsidRPr="003354E0">
        <w:rPr>
          <w:noProof/>
          <w:color w:val="000000"/>
          <w:sz w:val="22"/>
          <w:szCs w:val="22"/>
          <w:shd w:val="clear" w:color="auto" w:fill="FFFFFF"/>
        </w:rPr>
        <w:t xml:space="preserve"> </w:t>
      </w:r>
      <w:r w:rsidR="003354E0">
        <w:rPr>
          <w:i/>
          <w:noProof/>
          <w:color w:val="000000"/>
          <w:sz w:val="22"/>
          <w:szCs w:val="22"/>
          <w:shd w:val="clear" w:color="auto" w:fill="FFFFFF"/>
        </w:rPr>
        <w:t>et al.</w:t>
      </w:r>
      <w:r w:rsidR="003354E0" w:rsidRPr="003354E0">
        <w:rPr>
          <w:noProof/>
          <w:color w:val="000000"/>
          <w:sz w:val="22"/>
          <w:szCs w:val="22"/>
          <w:shd w:val="clear" w:color="auto" w:fill="FFFFFF"/>
        </w:rPr>
        <w:t>, 2018)</w:t>
      </w:r>
      <w:r w:rsidR="003354E0">
        <w:rPr>
          <w:color w:val="000000"/>
          <w:sz w:val="22"/>
          <w:szCs w:val="22"/>
          <w:shd w:val="clear" w:color="auto" w:fill="FFFFFF"/>
        </w:rPr>
        <w:fldChar w:fldCharType="end"/>
      </w:r>
      <w:r w:rsidRPr="00FD6193">
        <w:rPr>
          <w:color w:val="000000"/>
          <w:sz w:val="22"/>
          <w:szCs w:val="22"/>
          <w:shd w:val="clear" w:color="auto" w:fill="FFFFFF"/>
        </w:rPr>
        <w:t>.</w:t>
      </w:r>
    </w:p>
    <w:p w:rsidR="003A45C1" w:rsidRPr="00FD6193" w:rsidRDefault="003354E0" w:rsidP="001841D7">
      <w:pPr>
        <w:autoSpaceDE w:val="0"/>
        <w:autoSpaceDN w:val="0"/>
        <w:adjustRightInd w:val="0"/>
        <w:spacing w:line="276" w:lineRule="auto"/>
        <w:jc w:val="center"/>
        <w:rPr>
          <w:color w:val="000000"/>
          <w:sz w:val="22"/>
          <w:szCs w:val="22"/>
          <w:shd w:val="clear" w:color="auto" w:fill="FFFFFF"/>
        </w:rPr>
      </w:pPr>
      <w:r w:rsidRPr="002D3F5E">
        <w:rPr>
          <w:rFonts w:ascii="Arial" w:hAnsi="Arial" w:cs="Arial"/>
          <w:noProof/>
          <w:lang w:val="en-ID" w:eastAsia="en-ID"/>
        </w:rPr>
        <w:drawing>
          <wp:inline distT="0" distB="0" distL="0" distR="0" wp14:anchorId="55ACE540" wp14:editId="64E3A994">
            <wp:extent cx="717550" cy="334313"/>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713" t="51724" r="29537" b="40197"/>
                    <a:stretch/>
                  </pic:blipFill>
                  <pic:spPr bwMode="auto">
                    <a:xfrm>
                      <a:off x="0" y="0"/>
                      <a:ext cx="717550" cy="334313"/>
                    </a:xfrm>
                    <a:prstGeom prst="rect">
                      <a:avLst/>
                    </a:prstGeom>
                    <a:ln>
                      <a:noFill/>
                    </a:ln>
                    <a:extLst>
                      <a:ext uri="{53640926-AAD7-44D8-BBD7-CCE9431645EC}">
                        <a14:shadowObscured xmlns:a14="http://schemas.microsoft.com/office/drawing/2010/main"/>
                      </a:ext>
                    </a:extLst>
                  </pic:spPr>
                </pic:pic>
              </a:graphicData>
            </a:graphic>
          </wp:inline>
        </w:drawing>
      </w:r>
    </w:p>
    <w:p w:rsidR="003A45C1" w:rsidRPr="00FD6193" w:rsidRDefault="003A45C1" w:rsidP="001841D7">
      <w:pPr>
        <w:autoSpaceDE w:val="0"/>
        <w:autoSpaceDN w:val="0"/>
        <w:adjustRightInd w:val="0"/>
        <w:spacing w:line="276" w:lineRule="auto"/>
        <w:jc w:val="both"/>
        <w:rPr>
          <w:color w:val="000000"/>
          <w:sz w:val="22"/>
          <w:szCs w:val="22"/>
          <w:shd w:val="clear" w:color="auto" w:fill="FFFFFF"/>
        </w:rPr>
      </w:pPr>
      <w:r w:rsidRPr="00FD6193">
        <w:rPr>
          <w:color w:val="000000"/>
          <w:sz w:val="22"/>
          <w:szCs w:val="22"/>
          <w:shd w:val="clear" w:color="auto" w:fill="FFFFFF"/>
        </w:rPr>
        <w:t>Where:</w:t>
      </w:r>
      <w:r w:rsidR="005E3C55">
        <w:rPr>
          <w:color w:val="000000"/>
          <w:sz w:val="22"/>
          <w:szCs w:val="22"/>
          <w:shd w:val="clear" w:color="auto" w:fill="FFFFFF"/>
        </w:rPr>
        <w:t xml:space="preserve"> </w:t>
      </w:r>
      <w:r w:rsidRPr="00FD6193">
        <w:rPr>
          <w:color w:val="000000"/>
          <w:sz w:val="22"/>
          <w:szCs w:val="22"/>
          <w:shd w:val="clear" w:color="auto" w:fill="FFFFFF"/>
        </w:rPr>
        <w:t>n = Number of samples</w:t>
      </w:r>
      <w:r w:rsidR="005E3C55">
        <w:rPr>
          <w:color w:val="000000"/>
          <w:sz w:val="22"/>
          <w:szCs w:val="22"/>
          <w:shd w:val="clear" w:color="auto" w:fill="FFFFFF"/>
        </w:rPr>
        <w:t xml:space="preserve">; </w:t>
      </w:r>
      <w:r w:rsidRPr="00FD6193">
        <w:rPr>
          <w:color w:val="000000"/>
          <w:sz w:val="22"/>
          <w:szCs w:val="22"/>
          <w:shd w:val="clear" w:color="auto" w:fill="FFFFFF"/>
        </w:rPr>
        <w:t>N = Total population</w:t>
      </w:r>
      <w:r w:rsidR="005E3C55">
        <w:rPr>
          <w:color w:val="000000"/>
          <w:sz w:val="22"/>
          <w:szCs w:val="22"/>
          <w:shd w:val="clear" w:color="auto" w:fill="FFFFFF"/>
        </w:rPr>
        <w:t xml:space="preserve">; </w:t>
      </w:r>
      <w:r w:rsidRPr="00FD6193">
        <w:rPr>
          <w:color w:val="000000"/>
          <w:sz w:val="22"/>
          <w:szCs w:val="22"/>
          <w:shd w:val="clear" w:color="auto" w:fill="FFFFFF"/>
        </w:rPr>
        <w:t>e = Margin of error</w:t>
      </w:r>
    </w:p>
    <w:p w:rsidR="003A45C1" w:rsidRPr="00FD6193" w:rsidRDefault="003A45C1"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In this study, the population of farmer owners and cultivators in the peri-urban areas of Pekalongan City </w:t>
      </w:r>
      <w:r w:rsidR="003354E0">
        <w:rPr>
          <w:color w:val="000000"/>
          <w:sz w:val="22"/>
          <w:szCs w:val="22"/>
          <w:shd w:val="clear" w:color="auto" w:fill="FFFFFF"/>
        </w:rPr>
        <w:t>were</w:t>
      </w:r>
      <w:r w:rsidRPr="00FD6193">
        <w:rPr>
          <w:color w:val="000000"/>
          <w:sz w:val="22"/>
          <w:szCs w:val="22"/>
          <w:shd w:val="clear" w:color="auto" w:fill="FFFFFF"/>
        </w:rPr>
        <w:t xml:space="preserve"> 849 people</w:t>
      </w:r>
      <w:r w:rsidR="00B33DF8">
        <w:rPr>
          <w:color w:val="000000"/>
          <w:sz w:val="22"/>
          <w:szCs w:val="22"/>
          <w:shd w:val="clear" w:color="auto" w:fill="FFFFFF"/>
        </w:rPr>
        <w:t>.</w:t>
      </w:r>
      <w:r w:rsidRPr="00FD6193">
        <w:rPr>
          <w:color w:val="000000"/>
          <w:sz w:val="22"/>
          <w:szCs w:val="22"/>
          <w:shd w:val="clear" w:color="auto" w:fill="FFFFFF"/>
        </w:rPr>
        <w:t xml:space="preserve"> Based on the total population, the margin of error used is 10%, </w:t>
      </w:r>
      <w:r w:rsidR="00894D26" w:rsidRPr="00FD6193">
        <w:rPr>
          <w:color w:val="000000"/>
          <w:sz w:val="22"/>
          <w:szCs w:val="22"/>
          <w:shd w:val="clear" w:color="auto" w:fill="FFFFFF"/>
        </w:rPr>
        <w:t>and then</w:t>
      </w:r>
      <w:r w:rsidRPr="00FD6193">
        <w:rPr>
          <w:color w:val="000000"/>
          <w:sz w:val="22"/>
          <w:szCs w:val="22"/>
          <w:shd w:val="clear" w:color="auto" w:fill="FFFFFF"/>
        </w:rPr>
        <w:t xml:space="preserve"> the number of samples in this study is 90 farmer respondents. </w:t>
      </w:r>
      <w:r w:rsidR="003354E0">
        <w:rPr>
          <w:color w:val="000000"/>
          <w:sz w:val="22"/>
          <w:szCs w:val="22"/>
          <w:shd w:val="clear" w:color="auto" w:fill="FFFFFF"/>
        </w:rPr>
        <w:t>Sampling of farmers was</w:t>
      </w:r>
      <w:r w:rsidRPr="00FD6193">
        <w:rPr>
          <w:color w:val="000000"/>
          <w:sz w:val="22"/>
          <w:szCs w:val="22"/>
          <w:shd w:val="clear" w:color="auto" w:fill="FFFFFF"/>
        </w:rPr>
        <w:t xml:space="preserve"> done by using simple random sampling method and </w:t>
      </w:r>
      <w:r w:rsidR="00B917EE" w:rsidRPr="00FD6193">
        <w:rPr>
          <w:color w:val="000000"/>
          <w:sz w:val="22"/>
          <w:szCs w:val="22"/>
          <w:shd w:val="clear" w:color="auto" w:fill="FFFFFF"/>
        </w:rPr>
        <w:t xml:space="preserve">the </w:t>
      </w:r>
      <w:r w:rsidRPr="00FD6193">
        <w:rPr>
          <w:color w:val="000000"/>
          <w:sz w:val="22"/>
          <w:szCs w:val="22"/>
          <w:shd w:val="clear" w:color="auto" w:fill="FFFFFF"/>
        </w:rPr>
        <w:t>data</w:t>
      </w:r>
      <w:r w:rsidR="00B917EE" w:rsidRPr="00FD6193">
        <w:rPr>
          <w:color w:val="000000"/>
          <w:sz w:val="22"/>
          <w:szCs w:val="22"/>
          <w:shd w:val="clear" w:color="auto" w:fill="FFFFFF"/>
        </w:rPr>
        <w:t xml:space="preserve"> </w:t>
      </w:r>
      <w:r w:rsidR="004C04A4" w:rsidRPr="00FD6193">
        <w:rPr>
          <w:color w:val="000000"/>
          <w:sz w:val="22"/>
          <w:szCs w:val="22"/>
          <w:shd w:val="clear" w:color="auto" w:fill="FFFFFF"/>
        </w:rPr>
        <w:t>were</w:t>
      </w:r>
      <w:r w:rsidRPr="00FD6193">
        <w:rPr>
          <w:color w:val="000000"/>
          <w:sz w:val="22"/>
          <w:szCs w:val="22"/>
          <w:shd w:val="clear" w:color="auto" w:fill="FFFFFF"/>
        </w:rPr>
        <w:t xml:space="preserve"> obtained </w:t>
      </w:r>
      <w:r w:rsidR="00B917EE" w:rsidRPr="00FD6193">
        <w:rPr>
          <w:color w:val="000000"/>
          <w:sz w:val="22"/>
          <w:szCs w:val="22"/>
          <w:shd w:val="clear" w:color="auto" w:fill="FFFFFF"/>
        </w:rPr>
        <w:t xml:space="preserve">by </w:t>
      </w:r>
      <w:r w:rsidRPr="00FD6193">
        <w:rPr>
          <w:color w:val="000000"/>
          <w:sz w:val="22"/>
          <w:szCs w:val="22"/>
          <w:shd w:val="clear" w:color="auto" w:fill="FFFFFF"/>
        </w:rPr>
        <w:t>using direct interview method with questionnaires to farmers.</w:t>
      </w:r>
    </w:p>
    <w:p w:rsidR="003A45C1" w:rsidRPr="00FD6193" w:rsidRDefault="003A45C1"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The willingness to accept (WTA) value in this study is known by using interview techniques to farmer respondents who own agricultural land in the </w:t>
      </w:r>
      <w:r w:rsidR="003354E0">
        <w:rPr>
          <w:color w:val="000000"/>
          <w:sz w:val="22"/>
          <w:szCs w:val="22"/>
          <w:shd w:val="clear" w:color="auto" w:fill="FFFFFF"/>
        </w:rPr>
        <w:t>peri</w:t>
      </w:r>
      <w:r w:rsidRPr="00FD6193">
        <w:rPr>
          <w:color w:val="000000"/>
          <w:sz w:val="22"/>
          <w:szCs w:val="22"/>
          <w:shd w:val="clear" w:color="auto" w:fill="FFFFFF"/>
        </w:rPr>
        <w:t xml:space="preserve">-urban areas of Pekalongan City to explore the willingness of farmers to receive compensation in order to </w:t>
      </w:r>
      <w:r w:rsidRPr="00FD6193">
        <w:rPr>
          <w:color w:val="000000"/>
          <w:sz w:val="22"/>
          <w:szCs w:val="22"/>
          <w:shd w:val="clear" w:color="auto" w:fill="FFFFFF"/>
        </w:rPr>
        <w:lastRenderedPageBreak/>
        <w:t>protect agricultural land sustainability. The willingness of farmers to receive compensation can give an idea of the extent of sustainability of agricultural land in the peri-urban areas from the side of farmers as owners and managers of agricultural land. The desire of farmers to protect agricultural land</w:t>
      </w:r>
      <w:r w:rsidR="00B917EE" w:rsidRPr="00FD6193">
        <w:rPr>
          <w:color w:val="000000"/>
          <w:sz w:val="22"/>
          <w:szCs w:val="22"/>
          <w:shd w:val="clear" w:color="auto" w:fill="FFFFFF"/>
        </w:rPr>
        <w:t xml:space="preserve"> that was</w:t>
      </w:r>
      <w:r w:rsidRPr="00FD6193">
        <w:rPr>
          <w:color w:val="000000"/>
          <w:sz w:val="22"/>
          <w:szCs w:val="22"/>
          <w:shd w:val="clear" w:color="auto" w:fill="FFFFFF"/>
        </w:rPr>
        <w:t xml:space="preserve"> owned and managed voluntarily, without receiving certain compensation</w:t>
      </w:r>
      <w:r w:rsidR="00B917EE" w:rsidRPr="00FD6193">
        <w:rPr>
          <w:color w:val="000000"/>
          <w:sz w:val="22"/>
          <w:szCs w:val="22"/>
          <w:shd w:val="clear" w:color="auto" w:fill="FFFFFF"/>
        </w:rPr>
        <w:t>,</w:t>
      </w:r>
      <w:r w:rsidRPr="00FD6193">
        <w:rPr>
          <w:color w:val="000000"/>
          <w:sz w:val="22"/>
          <w:szCs w:val="22"/>
          <w:shd w:val="clear" w:color="auto" w:fill="FFFFFF"/>
        </w:rPr>
        <w:t xml:space="preserve"> shows the level of agricultural land sustainability of increasingly large in the peri-urban areas. </w:t>
      </w:r>
    </w:p>
    <w:p w:rsidR="003A45C1" w:rsidRPr="00FD6193" w:rsidRDefault="003A45C1"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 xml:space="preserve">Testing of factors that influence farmers' decision to accept / reject compensation and factors that influence the amount of WTA desired by farmers can be done </w:t>
      </w:r>
      <w:r w:rsidR="00EC73BB" w:rsidRPr="00FD6193">
        <w:rPr>
          <w:color w:val="000000"/>
          <w:sz w:val="22"/>
          <w:szCs w:val="22"/>
          <w:shd w:val="clear" w:color="auto" w:fill="FFFFFF"/>
        </w:rPr>
        <w:t xml:space="preserve">by </w:t>
      </w:r>
      <w:r w:rsidRPr="00FD6193">
        <w:rPr>
          <w:color w:val="000000"/>
          <w:sz w:val="22"/>
          <w:szCs w:val="22"/>
          <w:shd w:val="clear" w:color="auto" w:fill="FFFFFF"/>
        </w:rPr>
        <w:t xml:space="preserve">using Heckman's two-stage method. This method was used as an analytical tool due to its ability to explain well the factors that influence farmers' decisions to be willing to accept compensation or not </w:t>
      </w:r>
      <w:r w:rsidR="00CB1E02">
        <w:rPr>
          <w:color w:val="000000"/>
          <w:sz w:val="22"/>
          <w:szCs w:val="22"/>
          <w:shd w:val="clear" w:color="auto" w:fill="FFFFFF"/>
        </w:rPr>
        <w:t xml:space="preserve">(first stage-binary probit model) </w:t>
      </w:r>
      <w:r w:rsidRPr="00FD6193">
        <w:rPr>
          <w:color w:val="000000"/>
          <w:sz w:val="22"/>
          <w:szCs w:val="22"/>
          <w:shd w:val="clear" w:color="auto" w:fill="FFFFFF"/>
        </w:rPr>
        <w:t xml:space="preserve">and the factors that influence the amount of compensation that farmers are willing to accept </w:t>
      </w:r>
      <w:r w:rsidR="00CB1E02">
        <w:rPr>
          <w:color w:val="000000"/>
          <w:sz w:val="22"/>
          <w:szCs w:val="22"/>
          <w:shd w:val="clear" w:color="auto" w:fill="FFFFFF"/>
        </w:rPr>
        <w:t xml:space="preserve">(second stage-OLS model) </w:t>
      </w:r>
      <w:r w:rsidR="00236827">
        <w:rPr>
          <w:color w:val="000000"/>
          <w:sz w:val="22"/>
          <w:szCs w:val="22"/>
          <w:shd w:val="clear" w:color="auto" w:fill="FFFFFF"/>
        </w:rPr>
        <w:fldChar w:fldCharType="begin" w:fldLock="1"/>
      </w:r>
      <w:r w:rsidR="00236827">
        <w:rPr>
          <w:color w:val="000000"/>
          <w:sz w:val="22"/>
          <w:szCs w:val="22"/>
          <w:shd w:val="clear" w:color="auto" w:fill="FFFFFF"/>
        </w:rPr>
        <w:instrText>ADDIN CSL_CITATION {"citationItems":[{"id":"ITEM-1","itemData":{"DOI":"10.1016/j.cliser.2017.06.007","ISSN":"24058807","abstract":"This study aims to assess the economic benefits of seasonal climate forecasts in West Africa based on a random survey of 354 maize farmers and to use the contingent valuation method. Results indicate that farmers need accurate seasonal climate forecasts between 1 and 2 months before the onset of rains. The most desirable dissemination channels are radio, local elders, local farmer meetings and extension agents. The most likely used farming strategies are change of: planting date, crop acreage, crop variety, and production intensification. The vast majority of farmers are willing to pay for seasonal climate forecasts, and the average annual economic value of seasonal climate forecasts are about USD 5492 for the 354 sampled farmers and USD 66.5 million dollar at the national level. Furthermore, benefits of seasonal climate forecasts are likely to increase with better access to farmer based organisation, to extension services, to financial services, to modern communication tools, intensity of use of fertilizer and with larger farm sizes. Seasonal climate forecasts are a source of improvement of farmers’ performance and the service should be integrated in extension programmes and in national agricultural development agenda.","author":[{"dropping-particle":"","family":"Amegnaglo","given":"Cocou Jaurès","non-dropping-particle":"","parse-names":false,"suffix":""},{"dropping-particle":"","family":"Anaman","given":"Kwabena Asomanin","non-dropping-particle":"","parse-names":false,"suffix":""},{"dropping-particle":"","family":"Mensah-Bonsu","given":"Akwasi","non-dropping-particle":"","parse-names":false,"suffix":""},{"dropping-particle":"","family":"Onumah","given":"Edwards Ebo","non-dropping-particle":"","parse-names":false,"suffix":""},{"dropping-particle":"","family":"Amoussouga Gero","given":"Fulbert","non-dropping-particle":"","parse-names":false,"suffix":""}],"container-title":"Climate Services","id":"ITEM-1","issue":"2017","issued":{"date-parts":[["2017"]]},"page":"1-11","title":"Contingent valuation study of the benefits of seasonal climate forecasts for maize farmers in the Republic of Benin, West Africa","type":"article-journal","volume":"6"},"uris":["http://www.mendeley.com/documents/?uuid=2416d8bd-70c4-4fe7-b5ec-bd8e5479ff39"]}],"mendeley":{"formattedCitation":"(Amegnaglo, Anaman, Mensah-Bonsu, Onumah, &amp; Amoussouga Gero, 2017)","manualFormatting":"(Amegnaglo et al., 2017)","plainTextFormattedCitation":"(Amegnaglo, Anaman, Mensah-Bonsu, Onumah, &amp; Amoussouga Gero, 2017)","previouslyFormattedCitation":"(Amegnaglo, Anaman, Mensah-Bonsu, Onumah, &amp; Amoussouga Gero, 2017)"},"properties":{"noteIndex":0},"schema":"https://github.com/citation-style-language/schema/raw/master/csl-citation.json"}</w:instrText>
      </w:r>
      <w:r w:rsidR="00236827">
        <w:rPr>
          <w:color w:val="000000"/>
          <w:sz w:val="22"/>
          <w:szCs w:val="22"/>
          <w:shd w:val="clear" w:color="auto" w:fill="FFFFFF"/>
        </w:rPr>
        <w:fldChar w:fldCharType="separate"/>
      </w:r>
      <w:r w:rsidR="00236827" w:rsidRPr="00236827">
        <w:rPr>
          <w:noProof/>
          <w:color w:val="000000"/>
          <w:sz w:val="22"/>
          <w:szCs w:val="22"/>
          <w:shd w:val="clear" w:color="auto" w:fill="FFFFFF"/>
        </w:rPr>
        <w:t>(Am</w:t>
      </w:r>
      <w:r w:rsidR="00236827">
        <w:rPr>
          <w:noProof/>
          <w:color w:val="000000"/>
          <w:sz w:val="22"/>
          <w:szCs w:val="22"/>
          <w:shd w:val="clear" w:color="auto" w:fill="FFFFFF"/>
        </w:rPr>
        <w:t>egnaglo</w:t>
      </w:r>
      <w:r w:rsidR="00236827" w:rsidRPr="00236827">
        <w:rPr>
          <w:noProof/>
          <w:color w:val="000000"/>
          <w:sz w:val="22"/>
          <w:szCs w:val="22"/>
          <w:shd w:val="clear" w:color="auto" w:fill="FFFFFF"/>
        </w:rPr>
        <w:t xml:space="preserve"> </w:t>
      </w:r>
      <w:r w:rsidR="00236827">
        <w:rPr>
          <w:i/>
          <w:noProof/>
          <w:color w:val="000000"/>
          <w:sz w:val="22"/>
          <w:szCs w:val="22"/>
          <w:shd w:val="clear" w:color="auto" w:fill="FFFFFF"/>
        </w:rPr>
        <w:t>et al.</w:t>
      </w:r>
      <w:r w:rsidR="00236827" w:rsidRPr="00236827">
        <w:rPr>
          <w:noProof/>
          <w:color w:val="000000"/>
          <w:sz w:val="22"/>
          <w:szCs w:val="22"/>
          <w:shd w:val="clear" w:color="auto" w:fill="FFFFFF"/>
        </w:rPr>
        <w:t>, 2017)</w:t>
      </w:r>
      <w:r w:rsidR="00236827">
        <w:rPr>
          <w:color w:val="000000"/>
          <w:sz w:val="22"/>
          <w:szCs w:val="22"/>
          <w:shd w:val="clear" w:color="auto" w:fill="FFFFFF"/>
        </w:rPr>
        <w:fldChar w:fldCharType="end"/>
      </w:r>
      <w:r w:rsidRPr="00FD6193">
        <w:rPr>
          <w:color w:val="000000"/>
          <w:sz w:val="22"/>
          <w:szCs w:val="22"/>
          <w:shd w:val="clear" w:color="auto" w:fill="FFFFFF"/>
        </w:rPr>
        <w:t xml:space="preserve">. In addition, this method was used </w:t>
      </w:r>
      <w:r w:rsidR="006271BE" w:rsidRPr="00FD6193">
        <w:rPr>
          <w:color w:val="000000"/>
          <w:sz w:val="22"/>
          <w:szCs w:val="22"/>
          <w:shd w:val="clear" w:color="auto" w:fill="FFFFFF"/>
        </w:rPr>
        <w:t>on the grounds that WTA data have</w:t>
      </w:r>
      <w:r w:rsidRPr="00FD6193">
        <w:rPr>
          <w:color w:val="000000"/>
          <w:sz w:val="22"/>
          <w:szCs w:val="22"/>
          <w:shd w:val="clear" w:color="auto" w:fill="FFFFFF"/>
        </w:rPr>
        <w:t xml:space="preserve"> a sample selection bias, so to eliminate the occurrence of this bias it is recommended to use Heckman's two-stage method </w:t>
      </w:r>
      <w:r w:rsidR="00236827">
        <w:rPr>
          <w:color w:val="000000"/>
          <w:sz w:val="22"/>
          <w:szCs w:val="22"/>
          <w:shd w:val="clear" w:color="auto" w:fill="FFFFFF"/>
        </w:rPr>
        <w:fldChar w:fldCharType="begin" w:fldLock="1"/>
      </w:r>
      <w:r w:rsidR="00236827">
        <w:rPr>
          <w:color w:val="000000"/>
          <w:sz w:val="22"/>
          <w:szCs w:val="22"/>
          <w:shd w:val="clear" w:color="auto" w:fill="FFFFFF"/>
        </w:rPr>
        <w:instrText>ADDIN CSL_CITATION {"citationItems":[{"id":"ITEM-1","itemData":{"DOI":"10.1080/14728028.2015.1133330","ISSN":"1472-8028","author":[{"dropping-particle":"","family":"Amare","given":"Dagninet","non-dropping-particle":"","parse-names":false,"suffix":""},{"dropping-particle":"","family":"Mekuria","given":"Wolde","non-dropping-particle":"","parse-names":false,"suffix":""},{"dropping-particle":"","family":"T/wold","given":"Tilaye","non-dropping-particle":"","parse-names":false,"suffix":""},{"dropping-particle":"","family":"Belay","given":"Beyene","non-dropping-particle":"","parse-names":false,"suffix":""},{"dropping-particle":"","family":"Teshome","given":"Akalu","non-dropping-particle":"","parse-names":false,"suffix":""},{"dropping-particle":"","family":"Yitaferu","given":"Birru","non-dropping-particle":"","parse-names":false,"suffix":""},{"dropping-particle":"","family":"Tessema","given":"Teshome","non-dropping-particle":"","parse-names":false,"suffix":""},{"dropping-particle":"","family":"Tegegn","given":"Berhan","non-dropping-particle":"","parse-names":false,"suffix":""}],"container-title":"Forests, Trees and Livelihoods","id":"ITEM-1","issue":"3","issued":{"date-parts":[["2016"]]},"page":"173-186","publisher":"Taylor &amp; Francis","title":"Perception of local community and the willingness to pay to restore church forests: the case of Dera district, northwestern Ethiopia","type":"article-journal","volume":"25"},"uris":["http://www.mendeley.com/documents/?uuid=24a5aa3c-1f6f-4b15-a0c3-0b08572b95ca"]}],"mendeley":{"formattedCitation":"(Amare et al., 2016)","plainTextFormattedCitation":"(Amare et al., 2016)","previouslyFormattedCitation":"(Amare et al., 2016)"},"properties":{"noteIndex":0},"schema":"https://github.com/citation-style-language/schema/raw/master/csl-citation.json"}</w:instrText>
      </w:r>
      <w:r w:rsidR="00236827">
        <w:rPr>
          <w:color w:val="000000"/>
          <w:sz w:val="22"/>
          <w:szCs w:val="22"/>
          <w:shd w:val="clear" w:color="auto" w:fill="FFFFFF"/>
        </w:rPr>
        <w:fldChar w:fldCharType="separate"/>
      </w:r>
      <w:r w:rsidR="00236827" w:rsidRPr="00236827">
        <w:rPr>
          <w:noProof/>
          <w:color w:val="000000"/>
          <w:sz w:val="22"/>
          <w:szCs w:val="22"/>
          <w:shd w:val="clear" w:color="auto" w:fill="FFFFFF"/>
        </w:rPr>
        <w:t xml:space="preserve">(Amare </w:t>
      </w:r>
      <w:r w:rsidR="00236827" w:rsidRPr="00236827">
        <w:rPr>
          <w:i/>
          <w:noProof/>
          <w:color w:val="000000"/>
          <w:sz w:val="22"/>
          <w:szCs w:val="22"/>
          <w:shd w:val="clear" w:color="auto" w:fill="FFFFFF"/>
        </w:rPr>
        <w:t>et al</w:t>
      </w:r>
      <w:r w:rsidR="00236827" w:rsidRPr="00236827">
        <w:rPr>
          <w:noProof/>
          <w:color w:val="000000"/>
          <w:sz w:val="22"/>
          <w:szCs w:val="22"/>
          <w:shd w:val="clear" w:color="auto" w:fill="FFFFFF"/>
        </w:rPr>
        <w:t>., 2016)</w:t>
      </w:r>
      <w:r w:rsidR="00236827">
        <w:rPr>
          <w:color w:val="000000"/>
          <w:sz w:val="22"/>
          <w:szCs w:val="22"/>
          <w:shd w:val="clear" w:color="auto" w:fill="FFFFFF"/>
        </w:rPr>
        <w:fldChar w:fldCharType="end"/>
      </w:r>
      <w:r w:rsidR="00CB1E02">
        <w:rPr>
          <w:color w:val="000000"/>
          <w:sz w:val="22"/>
          <w:szCs w:val="22"/>
          <w:shd w:val="clear" w:color="auto" w:fill="FFFFFF"/>
        </w:rPr>
        <w:t>. First stage of Heckman's two-stage method used b</w:t>
      </w:r>
      <w:r w:rsidR="00E742ED" w:rsidRPr="00FD6193">
        <w:rPr>
          <w:color w:val="000000"/>
          <w:sz w:val="22"/>
          <w:szCs w:val="22"/>
          <w:shd w:val="clear" w:color="auto" w:fill="FFFFFF"/>
        </w:rPr>
        <w:t>inary probit model as follows:</w:t>
      </w:r>
    </w:p>
    <w:p w:rsidR="00E742ED" w:rsidRPr="00FD6193" w:rsidRDefault="00236827" w:rsidP="001841D7">
      <w:pPr>
        <w:autoSpaceDE w:val="0"/>
        <w:autoSpaceDN w:val="0"/>
        <w:adjustRightInd w:val="0"/>
        <w:spacing w:line="276" w:lineRule="auto"/>
        <w:jc w:val="both"/>
        <w:rPr>
          <w:color w:val="000000"/>
          <w:sz w:val="22"/>
          <w:szCs w:val="22"/>
          <w:shd w:val="clear" w:color="auto" w:fill="FFFFFF"/>
        </w:rPr>
      </w:pPr>
      <w:r w:rsidRPr="00236827">
        <w:rPr>
          <w:color w:val="000000"/>
          <w:sz w:val="22"/>
          <w:szCs w:val="22"/>
          <w:shd w:val="clear" w:color="auto" w:fill="FFFFFF"/>
        </w:rPr>
        <w:t>PWTA= β</w:t>
      </w:r>
      <w:r w:rsidRPr="00236827">
        <w:rPr>
          <w:color w:val="000000"/>
          <w:sz w:val="22"/>
          <w:szCs w:val="22"/>
          <w:shd w:val="clear" w:color="auto" w:fill="FFFFFF"/>
          <w:vertAlign w:val="subscript"/>
        </w:rPr>
        <w:t>0</w:t>
      </w:r>
      <w:r w:rsidRPr="00236827">
        <w:rPr>
          <w:color w:val="000000"/>
          <w:sz w:val="22"/>
          <w:szCs w:val="22"/>
          <w:shd w:val="clear" w:color="auto" w:fill="FFFFFF"/>
        </w:rPr>
        <w:t xml:space="preserve"> + β</w:t>
      </w:r>
      <w:r w:rsidRPr="00236827">
        <w:rPr>
          <w:color w:val="000000"/>
          <w:sz w:val="22"/>
          <w:szCs w:val="22"/>
          <w:shd w:val="clear" w:color="auto" w:fill="FFFFFF"/>
          <w:vertAlign w:val="subscript"/>
        </w:rPr>
        <w:t>1</w:t>
      </w:r>
      <w:r w:rsidRPr="00236827">
        <w:rPr>
          <w:color w:val="000000"/>
          <w:sz w:val="22"/>
          <w:szCs w:val="22"/>
          <w:shd w:val="clear" w:color="auto" w:fill="FFFFFF"/>
        </w:rPr>
        <w:t>X</w:t>
      </w:r>
      <w:r w:rsidRPr="00236827">
        <w:rPr>
          <w:color w:val="000000"/>
          <w:sz w:val="22"/>
          <w:szCs w:val="22"/>
          <w:shd w:val="clear" w:color="auto" w:fill="FFFFFF"/>
          <w:vertAlign w:val="subscript"/>
        </w:rPr>
        <w:t>1</w:t>
      </w:r>
      <w:r w:rsidRPr="00236827">
        <w:rPr>
          <w:color w:val="000000"/>
          <w:sz w:val="22"/>
          <w:szCs w:val="22"/>
          <w:shd w:val="clear" w:color="auto" w:fill="FFFFFF"/>
        </w:rPr>
        <w:t xml:space="preserve"> + β</w:t>
      </w:r>
      <w:r w:rsidRPr="00236827">
        <w:rPr>
          <w:color w:val="000000"/>
          <w:sz w:val="22"/>
          <w:szCs w:val="22"/>
          <w:shd w:val="clear" w:color="auto" w:fill="FFFFFF"/>
          <w:vertAlign w:val="subscript"/>
        </w:rPr>
        <w:t>2</w:t>
      </w:r>
      <w:r w:rsidRPr="00236827">
        <w:rPr>
          <w:color w:val="000000"/>
          <w:sz w:val="22"/>
          <w:szCs w:val="22"/>
          <w:shd w:val="clear" w:color="auto" w:fill="FFFFFF"/>
        </w:rPr>
        <w:t>X</w:t>
      </w:r>
      <w:r w:rsidRPr="00236827">
        <w:rPr>
          <w:color w:val="000000"/>
          <w:sz w:val="22"/>
          <w:szCs w:val="22"/>
          <w:shd w:val="clear" w:color="auto" w:fill="FFFFFF"/>
          <w:vertAlign w:val="subscript"/>
        </w:rPr>
        <w:t>2</w:t>
      </w:r>
      <w:r w:rsidRPr="00236827">
        <w:rPr>
          <w:color w:val="000000"/>
          <w:sz w:val="22"/>
          <w:szCs w:val="22"/>
          <w:shd w:val="clear" w:color="auto" w:fill="FFFFFF"/>
        </w:rPr>
        <w:t xml:space="preserve"> + β</w:t>
      </w:r>
      <w:r w:rsidRPr="00236827">
        <w:rPr>
          <w:color w:val="000000"/>
          <w:sz w:val="22"/>
          <w:szCs w:val="22"/>
          <w:shd w:val="clear" w:color="auto" w:fill="FFFFFF"/>
          <w:vertAlign w:val="subscript"/>
        </w:rPr>
        <w:t>3</w:t>
      </w:r>
      <w:r w:rsidRPr="00236827">
        <w:rPr>
          <w:color w:val="000000"/>
          <w:sz w:val="22"/>
          <w:szCs w:val="22"/>
          <w:shd w:val="clear" w:color="auto" w:fill="FFFFFF"/>
        </w:rPr>
        <w:t>X</w:t>
      </w:r>
      <w:r w:rsidRPr="00236827">
        <w:rPr>
          <w:color w:val="000000"/>
          <w:sz w:val="22"/>
          <w:szCs w:val="22"/>
          <w:shd w:val="clear" w:color="auto" w:fill="FFFFFF"/>
          <w:vertAlign w:val="subscript"/>
        </w:rPr>
        <w:t>3</w:t>
      </w:r>
      <w:r w:rsidRPr="00236827">
        <w:rPr>
          <w:color w:val="000000"/>
          <w:sz w:val="22"/>
          <w:szCs w:val="22"/>
          <w:shd w:val="clear" w:color="auto" w:fill="FFFFFF"/>
        </w:rPr>
        <w:t xml:space="preserve"> + β</w:t>
      </w:r>
      <w:r w:rsidRPr="00236827">
        <w:rPr>
          <w:color w:val="000000"/>
          <w:sz w:val="22"/>
          <w:szCs w:val="22"/>
          <w:shd w:val="clear" w:color="auto" w:fill="FFFFFF"/>
          <w:vertAlign w:val="subscript"/>
        </w:rPr>
        <w:t>4</w:t>
      </w:r>
      <w:r w:rsidRPr="00236827">
        <w:rPr>
          <w:color w:val="000000"/>
          <w:sz w:val="22"/>
          <w:szCs w:val="22"/>
          <w:shd w:val="clear" w:color="auto" w:fill="FFFFFF"/>
        </w:rPr>
        <w:t>X</w:t>
      </w:r>
      <w:r w:rsidRPr="00236827">
        <w:rPr>
          <w:color w:val="000000"/>
          <w:sz w:val="22"/>
          <w:szCs w:val="22"/>
          <w:shd w:val="clear" w:color="auto" w:fill="FFFFFF"/>
          <w:vertAlign w:val="subscript"/>
        </w:rPr>
        <w:t>4</w:t>
      </w:r>
      <w:r w:rsidRPr="00236827">
        <w:rPr>
          <w:color w:val="000000"/>
          <w:sz w:val="22"/>
          <w:szCs w:val="22"/>
          <w:shd w:val="clear" w:color="auto" w:fill="FFFFFF"/>
        </w:rPr>
        <w:t xml:space="preserve"> + β</w:t>
      </w:r>
      <w:r w:rsidRPr="00236827">
        <w:rPr>
          <w:color w:val="000000"/>
          <w:sz w:val="22"/>
          <w:szCs w:val="22"/>
          <w:shd w:val="clear" w:color="auto" w:fill="FFFFFF"/>
          <w:vertAlign w:val="subscript"/>
        </w:rPr>
        <w:t>5</w:t>
      </w:r>
      <w:r w:rsidRPr="00236827">
        <w:rPr>
          <w:color w:val="000000"/>
          <w:sz w:val="22"/>
          <w:szCs w:val="22"/>
          <w:shd w:val="clear" w:color="auto" w:fill="FFFFFF"/>
        </w:rPr>
        <w:t>X</w:t>
      </w:r>
      <w:r w:rsidRPr="00236827">
        <w:rPr>
          <w:color w:val="000000"/>
          <w:sz w:val="22"/>
          <w:szCs w:val="22"/>
          <w:shd w:val="clear" w:color="auto" w:fill="FFFFFF"/>
          <w:vertAlign w:val="subscript"/>
        </w:rPr>
        <w:t>5</w:t>
      </w:r>
      <w:r>
        <w:rPr>
          <w:color w:val="000000"/>
          <w:sz w:val="22"/>
          <w:szCs w:val="22"/>
          <w:shd w:val="clear" w:color="auto" w:fill="FFFFFF"/>
        </w:rPr>
        <w:t xml:space="preserve"> +</w:t>
      </w:r>
      <w:r w:rsidRPr="00236827">
        <w:rPr>
          <w:color w:val="000000"/>
          <w:sz w:val="22"/>
          <w:szCs w:val="22"/>
          <w:shd w:val="clear" w:color="auto" w:fill="FFFFFF"/>
        </w:rPr>
        <w:t xml:space="preserve"> V</w:t>
      </w:r>
      <w:r w:rsidRPr="00236827">
        <w:rPr>
          <w:color w:val="000000"/>
          <w:sz w:val="22"/>
          <w:szCs w:val="22"/>
          <w:shd w:val="clear" w:color="auto" w:fill="FFFFFF"/>
          <w:vertAlign w:val="subscript"/>
        </w:rPr>
        <w:t>1</w:t>
      </w:r>
    </w:p>
    <w:p w:rsidR="00E742ED" w:rsidRPr="00FD6193" w:rsidRDefault="00E742ED" w:rsidP="001841D7">
      <w:pPr>
        <w:autoSpaceDE w:val="0"/>
        <w:autoSpaceDN w:val="0"/>
        <w:adjustRightInd w:val="0"/>
        <w:spacing w:line="276" w:lineRule="auto"/>
        <w:jc w:val="both"/>
        <w:rPr>
          <w:color w:val="000000"/>
          <w:sz w:val="22"/>
          <w:szCs w:val="22"/>
          <w:shd w:val="clear" w:color="auto" w:fill="FFFFFF"/>
        </w:rPr>
      </w:pPr>
      <w:r w:rsidRPr="00FD6193">
        <w:rPr>
          <w:color w:val="000000"/>
          <w:sz w:val="22"/>
          <w:szCs w:val="22"/>
          <w:shd w:val="clear" w:color="auto" w:fill="FFFFFF"/>
        </w:rPr>
        <w:t>Where:</w:t>
      </w:r>
    </w:p>
    <w:p w:rsidR="00E742ED" w:rsidRPr="00FD6193" w:rsidRDefault="00E742ED" w:rsidP="001841D7">
      <w:pPr>
        <w:autoSpaceDE w:val="0"/>
        <w:autoSpaceDN w:val="0"/>
        <w:adjustRightInd w:val="0"/>
        <w:spacing w:line="276" w:lineRule="auto"/>
        <w:jc w:val="both"/>
        <w:rPr>
          <w:color w:val="000000"/>
          <w:sz w:val="22"/>
          <w:szCs w:val="22"/>
          <w:shd w:val="clear" w:color="auto" w:fill="FFFFFF"/>
        </w:rPr>
      </w:pPr>
      <w:r w:rsidRPr="00FD6193">
        <w:rPr>
          <w:color w:val="000000"/>
          <w:sz w:val="22"/>
          <w:szCs w:val="22"/>
          <w:shd w:val="clear" w:color="auto" w:fill="FFFFFF"/>
        </w:rPr>
        <w:t>PWTA</w:t>
      </w:r>
      <w:r w:rsidR="00236827">
        <w:rPr>
          <w:color w:val="000000"/>
          <w:sz w:val="22"/>
          <w:szCs w:val="22"/>
          <w:shd w:val="clear" w:color="auto" w:fill="FFFFFF"/>
        </w:rPr>
        <w:t xml:space="preserve"> </w:t>
      </w:r>
      <w:r w:rsidRPr="00FD6193">
        <w:rPr>
          <w:color w:val="000000"/>
          <w:sz w:val="22"/>
          <w:szCs w:val="22"/>
          <w:shd w:val="clear" w:color="auto" w:fill="FFFFFF"/>
        </w:rPr>
        <w:t>= Dummy variable (PWTA = 0 if the farmer is willing to receive compensation, and</w:t>
      </w:r>
      <w:r w:rsidR="00236827">
        <w:rPr>
          <w:color w:val="000000"/>
          <w:sz w:val="22"/>
          <w:szCs w:val="22"/>
          <w:shd w:val="clear" w:color="auto" w:fill="FFFFFF"/>
        </w:rPr>
        <w:t xml:space="preserve"> </w:t>
      </w:r>
      <w:r w:rsidRPr="00FD6193">
        <w:rPr>
          <w:color w:val="000000"/>
          <w:sz w:val="22"/>
          <w:szCs w:val="22"/>
          <w:shd w:val="clear" w:color="auto" w:fill="FFFFFF"/>
        </w:rPr>
        <w:t>PWTA= 1 if the farmer is not willing to receive compensation)</w:t>
      </w:r>
      <w:r w:rsidR="00780F4C">
        <w:rPr>
          <w:color w:val="000000"/>
          <w:sz w:val="22"/>
          <w:szCs w:val="22"/>
          <w:shd w:val="clear" w:color="auto" w:fill="FFFFFF"/>
        </w:rPr>
        <w:t xml:space="preserve">; </w:t>
      </w:r>
      <w:r w:rsidRPr="00FD6193">
        <w:rPr>
          <w:color w:val="000000"/>
          <w:sz w:val="22"/>
          <w:szCs w:val="22"/>
          <w:shd w:val="clear" w:color="auto" w:fill="FFFFFF"/>
        </w:rPr>
        <w:t>β</w:t>
      </w:r>
      <w:r w:rsidRPr="00236827">
        <w:rPr>
          <w:color w:val="000000"/>
          <w:sz w:val="22"/>
          <w:szCs w:val="22"/>
          <w:shd w:val="clear" w:color="auto" w:fill="FFFFFF"/>
          <w:vertAlign w:val="subscript"/>
        </w:rPr>
        <w:t>0</w:t>
      </w:r>
      <w:r w:rsidRPr="00FD6193">
        <w:rPr>
          <w:color w:val="000000"/>
          <w:sz w:val="22"/>
          <w:szCs w:val="22"/>
          <w:shd w:val="clear" w:color="auto" w:fill="FFFFFF"/>
        </w:rPr>
        <w:t xml:space="preserve"> = Constants</w:t>
      </w:r>
      <w:r w:rsidR="00780F4C">
        <w:rPr>
          <w:color w:val="000000"/>
          <w:sz w:val="22"/>
          <w:szCs w:val="22"/>
          <w:shd w:val="clear" w:color="auto" w:fill="FFFFFF"/>
        </w:rPr>
        <w:t xml:space="preserve">; </w:t>
      </w:r>
      <w:r w:rsidRPr="00FD6193">
        <w:rPr>
          <w:color w:val="000000"/>
          <w:sz w:val="22"/>
          <w:szCs w:val="22"/>
          <w:shd w:val="clear" w:color="auto" w:fill="FFFFFF"/>
        </w:rPr>
        <w:t>β</w:t>
      </w:r>
      <w:r w:rsidRPr="00236827">
        <w:rPr>
          <w:color w:val="000000"/>
          <w:sz w:val="22"/>
          <w:szCs w:val="22"/>
          <w:shd w:val="clear" w:color="auto" w:fill="FFFFFF"/>
          <w:vertAlign w:val="subscript"/>
        </w:rPr>
        <w:t>1</w:t>
      </w:r>
      <w:r w:rsidRPr="00FD6193">
        <w:rPr>
          <w:color w:val="000000"/>
          <w:sz w:val="22"/>
          <w:szCs w:val="22"/>
          <w:shd w:val="clear" w:color="auto" w:fill="FFFFFF"/>
        </w:rPr>
        <w:t>-β</w:t>
      </w:r>
      <w:r w:rsidRPr="00236827">
        <w:rPr>
          <w:color w:val="000000"/>
          <w:sz w:val="22"/>
          <w:szCs w:val="22"/>
          <w:shd w:val="clear" w:color="auto" w:fill="FFFFFF"/>
          <w:vertAlign w:val="subscript"/>
        </w:rPr>
        <w:t>5</w:t>
      </w:r>
      <w:r w:rsidRPr="00FD6193">
        <w:rPr>
          <w:color w:val="000000"/>
          <w:sz w:val="22"/>
          <w:szCs w:val="22"/>
          <w:shd w:val="clear" w:color="auto" w:fill="FFFFFF"/>
        </w:rPr>
        <w:t xml:space="preserve"> = Regression coefficient</w:t>
      </w:r>
      <w:r w:rsidR="00780F4C">
        <w:rPr>
          <w:color w:val="000000"/>
          <w:sz w:val="22"/>
          <w:szCs w:val="22"/>
          <w:shd w:val="clear" w:color="auto" w:fill="FFFFFF"/>
        </w:rPr>
        <w:t xml:space="preserve">; </w:t>
      </w:r>
      <w:r w:rsidRPr="00FD6193">
        <w:rPr>
          <w:color w:val="000000"/>
          <w:sz w:val="22"/>
          <w:szCs w:val="22"/>
          <w:shd w:val="clear" w:color="auto" w:fill="FFFFFF"/>
        </w:rPr>
        <w:t>X</w:t>
      </w:r>
      <w:r w:rsidRPr="00236827">
        <w:rPr>
          <w:color w:val="000000"/>
          <w:sz w:val="22"/>
          <w:szCs w:val="22"/>
          <w:shd w:val="clear" w:color="auto" w:fill="FFFFFF"/>
          <w:vertAlign w:val="subscript"/>
        </w:rPr>
        <w:t>1</w:t>
      </w:r>
      <w:r w:rsidRPr="00FD6193">
        <w:rPr>
          <w:color w:val="000000"/>
          <w:sz w:val="22"/>
          <w:szCs w:val="22"/>
          <w:shd w:val="clear" w:color="auto" w:fill="FFFFFF"/>
        </w:rPr>
        <w:t xml:space="preserve"> = F</w:t>
      </w:r>
      <w:r w:rsidR="008B430A">
        <w:rPr>
          <w:color w:val="000000"/>
          <w:sz w:val="22"/>
          <w:szCs w:val="22"/>
          <w:shd w:val="clear" w:color="auto" w:fill="FFFFFF"/>
        </w:rPr>
        <w:t>arm income (IDR</w:t>
      </w:r>
      <w:r w:rsidRPr="00FD6193">
        <w:rPr>
          <w:color w:val="000000"/>
          <w:sz w:val="22"/>
          <w:szCs w:val="22"/>
          <w:shd w:val="clear" w:color="auto" w:fill="FFFFFF"/>
        </w:rPr>
        <w:t>)</w:t>
      </w:r>
      <w:r w:rsidR="00780F4C">
        <w:rPr>
          <w:color w:val="000000"/>
          <w:sz w:val="22"/>
          <w:szCs w:val="22"/>
          <w:shd w:val="clear" w:color="auto" w:fill="FFFFFF"/>
        </w:rPr>
        <w:t xml:space="preserve">; </w:t>
      </w:r>
      <w:r w:rsidRPr="00FD6193">
        <w:rPr>
          <w:color w:val="000000"/>
          <w:sz w:val="22"/>
          <w:szCs w:val="22"/>
          <w:shd w:val="clear" w:color="auto" w:fill="FFFFFF"/>
        </w:rPr>
        <w:t>X</w:t>
      </w:r>
      <w:r w:rsidRPr="00236827">
        <w:rPr>
          <w:color w:val="000000"/>
          <w:sz w:val="22"/>
          <w:szCs w:val="22"/>
          <w:shd w:val="clear" w:color="auto" w:fill="FFFFFF"/>
          <w:vertAlign w:val="subscript"/>
        </w:rPr>
        <w:t xml:space="preserve">2 </w:t>
      </w:r>
      <w:r w:rsidR="008B430A">
        <w:rPr>
          <w:color w:val="000000"/>
          <w:sz w:val="22"/>
          <w:szCs w:val="22"/>
          <w:shd w:val="clear" w:color="auto" w:fill="FFFFFF"/>
        </w:rPr>
        <w:t>= Non-farm income (IDR</w:t>
      </w:r>
      <w:r w:rsidRPr="00FD6193">
        <w:rPr>
          <w:color w:val="000000"/>
          <w:sz w:val="22"/>
          <w:szCs w:val="22"/>
          <w:shd w:val="clear" w:color="auto" w:fill="FFFFFF"/>
        </w:rPr>
        <w:t>)</w:t>
      </w:r>
      <w:r w:rsidR="00780F4C">
        <w:rPr>
          <w:color w:val="000000"/>
          <w:sz w:val="22"/>
          <w:szCs w:val="22"/>
          <w:shd w:val="clear" w:color="auto" w:fill="FFFFFF"/>
        </w:rPr>
        <w:t xml:space="preserve">; </w:t>
      </w:r>
      <w:r w:rsidRPr="00FD6193">
        <w:rPr>
          <w:color w:val="000000"/>
          <w:sz w:val="22"/>
          <w:szCs w:val="22"/>
          <w:shd w:val="clear" w:color="auto" w:fill="FFFFFF"/>
        </w:rPr>
        <w:t>X</w:t>
      </w:r>
      <w:r w:rsidRPr="00236827">
        <w:rPr>
          <w:color w:val="000000"/>
          <w:sz w:val="22"/>
          <w:szCs w:val="22"/>
          <w:shd w:val="clear" w:color="auto" w:fill="FFFFFF"/>
          <w:vertAlign w:val="subscript"/>
        </w:rPr>
        <w:t xml:space="preserve">3 </w:t>
      </w:r>
      <w:r w:rsidRPr="00FD6193">
        <w:rPr>
          <w:color w:val="000000"/>
          <w:sz w:val="22"/>
          <w:szCs w:val="22"/>
          <w:shd w:val="clear" w:color="auto" w:fill="FFFFFF"/>
        </w:rPr>
        <w:t>= Family burden (%)</w:t>
      </w:r>
      <w:r w:rsidR="00780F4C">
        <w:rPr>
          <w:color w:val="000000"/>
          <w:sz w:val="22"/>
          <w:szCs w:val="22"/>
          <w:shd w:val="clear" w:color="auto" w:fill="FFFFFF"/>
        </w:rPr>
        <w:t xml:space="preserve">; </w:t>
      </w:r>
      <w:r w:rsidRPr="00FD6193">
        <w:rPr>
          <w:color w:val="000000"/>
          <w:sz w:val="22"/>
          <w:szCs w:val="22"/>
          <w:shd w:val="clear" w:color="auto" w:fill="FFFFFF"/>
        </w:rPr>
        <w:t>X</w:t>
      </w:r>
      <w:r w:rsidRPr="00236827">
        <w:rPr>
          <w:color w:val="000000"/>
          <w:sz w:val="22"/>
          <w:szCs w:val="22"/>
          <w:shd w:val="clear" w:color="auto" w:fill="FFFFFF"/>
          <w:vertAlign w:val="subscript"/>
        </w:rPr>
        <w:t>4</w:t>
      </w:r>
      <w:r w:rsidRPr="00FD6193">
        <w:rPr>
          <w:color w:val="000000"/>
          <w:sz w:val="22"/>
          <w:szCs w:val="22"/>
          <w:shd w:val="clear" w:color="auto" w:fill="FFFFFF"/>
        </w:rPr>
        <w:t xml:space="preserve"> = Agricultural land distance to the main road (Km)</w:t>
      </w:r>
      <w:r w:rsidR="00780F4C">
        <w:rPr>
          <w:color w:val="000000"/>
          <w:sz w:val="22"/>
          <w:szCs w:val="22"/>
          <w:shd w:val="clear" w:color="auto" w:fill="FFFFFF"/>
        </w:rPr>
        <w:t xml:space="preserve">; </w:t>
      </w:r>
      <w:r w:rsidRPr="00FD6193">
        <w:rPr>
          <w:color w:val="000000"/>
          <w:sz w:val="22"/>
          <w:szCs w:val="22"/>
          <w:shd w:val="clear" w:color="auto" w:fill="FFFFFF"/>
        </w:rPr>
        <w:t>X</w:t>
      </w:r>
      <w:r w:rsidRPr="00236827">
        <w:rPr>
          <w:color w:val="000000"/>
          <w:sz w:val="22"/>
          <w:szCs w:val="22"/>
          <w:shd w:val="clear" w:color="auto" w:fill="FFFFFF"/>
          <w:vertAlign w:val="subscript"/>
        </w:rPr>
        <w:t>5</w:t>
      </w:r>
      <w:r w:rsidRPr="00FD6193">
        <w:rPr>
          <w:color w:val="000000"/>
          <w:sz w:val="22"/>
          <w:szCs w:val="22"/>
          <w:shd w:val="clear" w:color="auto" w:fill="FFFFFF"/>
        </w:rPr>
        <w:t xml:space="preserve"> = farmers' perception of the agricultural land sustainability (%)</w:t>
      </w:r>
      <w:r w:rsidR="00780F4C">
        <w:rPr>
          <w:color w:val="000000"/>
          <w:sz w:val="22"/>
          <w:szCs w:val="22"/>
          <w:shd w:val="clear" w:color="auto" w:fill="FFFFFF"/>
        </w:rPr>
        <w:t xml:space="preserve">; </w:t>
      </w:r>
      <w:r w:rsidRPr="00FD6193">
        <w:rPr>
          <w:color w:val="000000"/>
          <w:sz w:val="22"/>
          <w:szCs w:val="22"/>
          <w:shd w:val="clear" w:color="auto" w:fill="FFFFFF"/>
        </w:rPr>
        <w:t>V</w:t>
      </w:r>
      <w:r w:rsidRPr="00236827">
        <w:rPr>
          <w:color w:val="000000"/>
          <w:sz w:val="22"/>
          <w:szCs w:val="22"/>
          <w:shd w:val="clear" w:color="auto" w:fill="FFFFFF"/>
          <w:vertAlign w:val="subscript"/>
        </w:rPr>
        <w:t>1</w:t>
      </w:r>
      <w:r w:rsidRPr="00FD6193">
        <w:rPr>
          <w:color w:val="000000"/>
          <w:sz w:val="22"/>
          <w:szCs w:val="22"/>
          <w:shd w:val="clear" w:color="auto" w:fill="FFFFFF"/>
        </w:rPr>
        <w:t xml:space="preserve"> = Error term</w:t>
      </w:r>
      <w:r w:rsidR="00780F4C">
        <w:rPr>
          <w:color w:val="000000"/>
          <w:sz w:val="22"/>
          <w:szCs w:val="22"/>
          <w:shd w:val="clear" w:color="auto" w:fill="FFFFFF"/>
        </w:rPr>
        <w:t>.</w:t>
      </w:r>
    </w:p>
    <w:p w:rsidR="00E742ED" w:rsidRPr="00FD6193" w:rsidRDefault="00E742ED"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In the binary probit model as the first step of Heckman's two-stage method</w:t>
      </w:r>
      <w:r w:rsidR="00162B1B" w:rsidRPr="00FD6193">
        <w:rPr>
          <w:color w:val="000000"/>
          <w:sz w:val="22"/>
          <w:szCs w:val="22"/>
          <w:shd w:val="clear" w:color="auto" w:fill="FFFFFF"/>
        </w:rPr>
        <w:t>, the value of the Inverse Mills Ratio (IMR) variable</w:t>
      </w:r>
      <w:r w:rsidRPr="00FD6193">
        <w:rPr>
          <w:color w:val="000000"/>
          <w:sz w:val="22"/>
          <w:szCs w:val="22"/>
          <w:shd w:val="clear" w:color="auto" w:fill="FFFFFF"/>
        </w:rPr>
        <w:t xml:space="preserve"> will</w:t>
      </w:r>
      <w:r w:rsidR="00162B1B" w:rsidRPr="00FD6193">
        <w:rPr>
          <w:color w:val="000000"/>
          <w:sz w:val="22"/>
          <w:szCs w:val="22"/>
          <w:shd w:val="clear" w:color="auto" w:fill="FFFFFF"/>
        </w:rPr>
        <w:t xml:space="preserve"> be known</w:t>
      </w:r>
      <w:r w:rsidRPr="00FD6193">
        <w:rPr>
          <w:color w:val="000000"/>
          <w:sz w:val="22"/>
          <w:szCs w:val="22"/>
          <w:shd w:val="clear" w:color="auto" w:fill="FFFFFF"/>
        </w:rPr>
        <w:t>. IMR is a proxy variable for the probability o</w:t>
      </w:r>
      <w:r w:rsidR="00894D26" w:rsidRPr="00FD6193">
        <w:rPr>
          <w:color w:val="000000"/>
          <w:sz w:val="22"/>
          <w:szCs w:val="22"/>
          <w:shd w:val="clear" w:color="auto" w:fill="FFFFFF"/>
        </w:rPr>
        <w:t>f farmers received or rejected the</w:t>
      </w:r>
      <w:r w:rsidRPr="00FD6193">
        <w:rPr>
          <w:color w:val="000000"/>
          <w:sz w:val="22"/>
          <w:szCs w:val="22"/>
          <w:shd w:val="clear" w:color="auto" w:fill="FFFFFF"/>
        </w:rPr>
        <w:t xml:space="preserve"> compensation (WTA). Furthermore, in the second stage of Heckman's two-stage method, the IMR variable will be used as an additional explanatory variable to produce consistent estimates on the </w:t>
      </w:r>
      <w:r w:rsidR="00236827">
        <w:rPr>
          <w:color w:val="000000"/>
          <w:sz w:val="22"/>
          <w:szCs w:val="22"/>
          <w:shd w:val="clear" w:color="auto" w:fill="FFFFFF"/>
        </w:rPr>
        <w:t>value</w:t>
      </w:r>
      <w:r w:rsidRPr="00FD6193">
        <w:rPr>
          <w:color w:val="000000"/>
          <w:sz w:val="22"/>
          <w:szCs w:val="22"/>
          <w:shd w:val="clear" w:color="auto" w:fill="FFFFFF"/>
        </w:rPr>
        <w:t xml:space="preserve"> of farmers’ WTA model. The IMR value will be a reference to determine whether the model used has a sample selection bias. IMR </w:t>
      </w:r>
      <w:r w:rsidR="003A6946" w:rsidRPr="00FD6193">
        <w:rPr>
          <w:color w:val="000000"/>
          <w:sz w:val="22"/>
          <w:szCs w:val="22"/>
          <w:shd w:val="clear" w:color="auto" w:fill="FFFFFF"/>
        </w:rPr>
        <w:t xml:space="preserve">which </w:t>
      </w:r>
      <w:r w:rsidRPr="00FD6193">
        <w:rPr>
          <w:color w:val="000000"/>
          <w:sz w:val="22"/>
          <w:szCs w:val="22"/>
          <w:shd w:val="clear" w:color="auto" w:fill="FFFFFF"/>
        </w:rPr>
        <w:t xml:space="preserve">is not significant at the </w:t>
      </w:r>
      <w:r w:rsidR="003A6946" w:rsidRPr="00FD6193">
        <w:rPr>
          <w:color w:val="000000"/>
          <w:sz w:val="22"/>
          <w:szCs w:val="22"/>
          <w:shd w:val="clear" w:color="auto" w:fill="FFFFFF"/>
        </w:rPr>
        <w:t>specified alpha level indicates that</w:t>
      </w:r>
      <w:r w:rsidRPr="00FD6193">
        <w:rPr>
          <w:color w:val="000000"/>
          <w:sz w:val="22"/>
          <w:szCs w:val="22"/>
          <w:shd w:val="clear" w:color="auto" w:fill="FFFFFF"/>
        </w:rPr>
        <w:t xml:space="preserve"> the model used does not have a sample selection bias, and vice versa. If the IMR is significant, the OLS model in the second stage of Heckman's two-stage method is declared invalid </w:t>
      </w:r>
      <w:r w:rsidR="00236827">
        <w:rPr>
          <w:color w:val="000000"/>
          <w:sz w:val="22"/>
          <w:szCs w:val="22"/>
          <w:shd w:val="clear" w:color="auto" w:fill="FFFFFF"/>
        </w:rPr>
        <w:fldChar w:fldCharType="begin" w:fldLock="1"/>
      </w:r>
      <w:r w:rsidR="00C95653">
        <w:rPr>
          <w:color w:val="000000"/>
          <w:sz w:val="22"/>
          <w:szCs w:val="22"/>
          <w:shd w:val="clear" w:color="auto" w:fill="FFFFFF"/>
        </w:rPr>
        <w:instrText>ADDIN CSL_CITATION {"citationItems":[{"id":"ITEM-1","itemData":{"DOI":"10.1016/j.cliser.2017.06.007","ISSN":"24058807","abstract":"This study aims to assess the economic benefits of seasonal climate forecasts in West Africa based on a random survey of 354 maize farmers and to use the contingent valuation method. Results indicate that farmers need accurate seasonal climate forecasts between 1 and 2 months before the onset of rains. The most desirable dissemination channels are radio, local elders, local farmer meetings and extension agents. The most likely used farming strategies are change of: planting date, crop acreage, crop variety, and production intensification. The vast majority of farmers are willing to pay for seasonal climate forecasts, and the average annual economic value of seasonal climate forecasts are about USD 5492 for the 354 sampled farmers and USD 66.5 million dollar at the national level. Furthermore, benefits of seasonal climate forecasts are likely to increase with better access to farmer based organisation, to extension services, to financial services, to modern communication tools, intensity of use of fertilizer and with larger farm sizes. Seasonal climate forecasts are a source of improvement of farmers’ performance and the service should be integrated in extension programmes and in national agricultural development agenda.","author":[{"dropping-particle":"","family":"Amegnaglo","given":"Cocou Jaurès","non-dropping-particle":"","parse-names":false,"suffix":""},{"dropping-particle":"","family":"Anaman","given":"Kwabena Asomanin","non-dropping-particle":"","parse-names":false,"suffix":""},{"dropping-particle":"","family":"Mensah-Bonsu","given":"Akwasi","non-dropping-particle":"","parse-names":false,"suffix":""},{"dropping-particle":"","family":"Onumah","given":"Edwards Ebo","non-dropping-particle":"","parse-names":false,"suffix":""},{"dropping-particle":"","family":"Amoussouga Gero","given":"Fulbert","non-dropping-particle":"","parse-names":false,"suffix":""}],"container-title":"Climate Services","id":"ITEM-1","issue":"2017","issued":{"date-parts":[["2017"]]},"page":"1-11","title":"Contingent valuation study of the benefits of seasonal climate forecasts for maize farmers in the Republic of Benin, West Africa","type":"article-journal","volume":"6"},"uris":["http://www.mendeley.com/documents/?uuid=2416d8bd-70c4-4fe7-b5ec-bd8e5479ff39"]}],"mendeley":{"formattedCitation":"(Amegnaglo et al., 2017)","plainTextFormattedCitation":"(Amegnaglo et al., 2017)","previouslyFormattedCitation":"(Amegnaglo et al., 2017)"},"properties":{"noteIndex":0},"schema":"https://github.com/citation-style-language/schema/raw/master/csl-citation.json"}</w:instrText>
      </w:r>
      <w:r w:rsidR="00236827">
        <w:rPr>
          <w:color w:val="000000"/>
          <w:sz w:val="22"/>
          <w:szCs w:val="22"/>
          <w:shd w:val="clear" w:color="auto" w:fill="FFFFFF"/>
        </w:rPr>
        <w:fldChar w:fldCharType="separate"/>
      </w:r>
      <w:r w:rsidR="00236827" w:rsidRPr="00236827">
        <w:rPr>
          <w:noProof/>
          <w:color w:val="000000"/>
          <w:sz w:val="22"/>
          <w:szCs w:val="22"/>
          <w:shd w:val="clear" w:color="auto" w:fill="FFFFFF"/>
        </w:rPr>
        <w:t xml:space="preserve">(Amegnaglo </w:t>
      </w:r>
      <w:r w:rsidR="00236827" w:rsidRPr="00236827">
        <w:rPr>
          <w:i/>
          <w:noProof/>
          <w:color w:val="000000"/>
          <w:sz w:val="22"/>
          <w:szCs w:val="22"/>
          <w:shd w:val="clear" w:color="auto" w:fill="FFFFFF"/>
        </w:rPr>
        <w:t>et al</w:t>
      </w:r>
      <w:r w:rsidR="00236827" w:rsidRPr="00236827">
        <w:rPr>
          <w:noProof/>
          <w:color w:val="000000"/>
          <w:sz w:val="22"/>
          <w:szCs w:val="22"/>
          <w:shd w:val="clear" w:color="auto" w:fill="FFFFFF"/>
        </w:rPr>
        <w:t>., 2017)</w:t>
      </w:r>
      <w:r w:rsidR="00236827">
        <w:rPr>
          <w:color w:val="000000"/>
          <w:sz w:val="22"/>
          <w:szCs w:val="22"/>
          <w:shd w:val="clear" w:color="auto" w:fill="FFFFFF"/>
        </w:rPr>
        <w:fldChar w:fldCharType="end"/>
      </w:r>
      <w:r w:rsidRPr="00FD6193">
        <w:rPr>
          <w:color w:val="000000"/>
          <w:sz w:val="22"/>
          <w:szCs w:val="22"/>
          <w:shd w:val="clear" w:color="auto" w:fill="FFFFFF"/>
        </w:rPr>
        <w:t>.</w:t>
      </w:r>
    </w:p>
    <w:p w:rsidR="00E742ED" w:rsidRPr="00FD6193" w:rsidRDefault="00E742ED" w:rsidP="001841D7">
      <w:pPr>
        <w:autoSpaceDE w:val="0"/>
        <w:autoSpaceDN w:val="0"/>
        <w:adjustRightInd w:val="0"/>
        <w:spacing w:line="276" w:lineRule="auto"/>
        <w:ind w:firstLine="720"/>
        <w:jc w:val="both"/>
        <w:rPr>
          <w:color w:val="000000"/>
          <w:sz w:val="22"/>
          <w:szCs w:val="22"/>
          <w:shd w:val="clear" w:color="auto" w:fill="FFFFFF"/>
        </w:rPr>
      </w:pPr>
      <w:r w:rsidRPr="00FD6193">
        <w:rPr>
          <w:color w:val="000000"/>
          <w:sz w:val="22"/>
          <w:szCs w:val="22"/>
          <w:shd w:val="clear" w:color="auto" w:fill="FFFFFF"/>
        </w:rPr>
        <w:t>The amount of WTA value of farmers to receive compensation so that they are still willing to protect their agricultural land can be obtained by asking the second question to farmers about how much money the farmers are willing to accept as compensation for protecting agricultural land sustainability. After the WTA value is known, it can be analyzed</w:t>
      </w:r>
      <w:r w:rsidR="00F542B5" w:rsidRPr="00FD6193">
        <w:rPr>
          <w:color w:val="000000"/>
          <w:sz w:val="22"/>
          <w:szCs w:val="22"/>
          <w:shd w:val="clear" w:color="auto" w:fill="FFFFFF"/>
        </w:rPr>
        <w:t xml:space="preserve"> by</w:t>
      </w:r>
      <w:r w:rsidRPr="00FD6193">
        <w:rPr>
          <w:color w:val="000000"/>
          <w:sz w:val="22"/>
          <w:szCs w:val="22"/>
          <w:shd w:val="clear" w:color="auto" w:fill="FFFFFF"/>
        </w:rPr>
        <w:t xml:space="preserve"> using the OLS (Ordinary Least Squares) model which is the second stage of Heckman's two-stage method.</w:t>
      </w:r>
      <w:r w:rsidR="00780F4C">
        <w:rPr>
          <w:color w:val="000000"/>
          <w:sz w:val="22"/>
          <w:szCs w:val="22"/>
          <w:shd w:val="clear" w:color="auto" w:fill="FFFFFF"/>
        </w:rPr>
        <w:t xml:space="preserve"> </w:t>
      </w:r>
      <w:r w:rsidRPr="00FD6193">
        <w:rPr>
          <w:color w:val="000000"/>
          <w:sz w:val="22"/>
          <w:szCs w:val="22"/>
          <w:shd w:val="clear" w:color="auto" w:fill="FFFFFF"/>
        </w:rPr>
        <w:t>This model is used to determine the factors affecting the amounts of farmers’ WTA. The model can be written in the equation as follows:</w:t>
      </w:r>
    </w:p>
    <w:p w:rsidR="003A45C1" w:rsidRPr="00971361" w:rsidRDefault="00971361" w:rsidP="001841D7">
      <w:pPr>
        <w:spacing w:line="276" w:lineRule="auto"/>
        <w:jc w:val="both"/>
        <w:rPr>
          <w:sz w:val="22"/>
          <w:szCs w:val="22"/>
          <w:lang w:val="en-ID"/>
        </w:rPr>
      </w:pPr>
      <w:r w:rsidRPr="00971361">
        <w:rPr>
          <w:sz w:val="22"/>
          <w:szCs w:val="22"/>
          <w:lang w:val="en-ID"/>
        </w:rPr>
        <w:t>WTA= β</w:t>
      </w:r>
      <w:r w:rsidRPr="00971361">
        <w:rPr>
          <w:sz w:val="22"/>
          <w:szCs w:val="22"/>
          <w:vertAlign w:val="subscript"/>
          <w:lang w:val="en-ID"/>
        </w:rPr>
        <w:t>0</w:t>
      </w:r>
      <w:r w:rsidRPr="00971361">
        <w:rPr>
          <w:sz w:val="22"/>
          <w:szCs w:val="22"/>
          <w:lang w:val="en-ID"/>
        </w:rPr>
        <w:t xml:space="preserve"> + β</w:t>
      </w:r>
      <w:r w:rsidRPr="00971361">
        <w:rPr>
          <w:sz w:val="22"/>
          <w:szCs w:val="22"/>
          <w:vertAlign w:val="subscript"/>
          <w:lang w:val="en-ID"/>
        </w:rPr>
        <w:t>1</w:t>
      </w:r>
      <w:r w:rsidRPr="00971361">
        <w:rPr>
          <w:sz w:val="22"/>
          <w:szCs w:val="22"/>
          <w:lang w:val="en-ID"/>
        </w:rPr>
        <w:t>X</w:t>
      </w:r>
      <w:r w:rsidRPr="00971361">
        <w:rPr>
          <w:sz w:val="22"/>
          <w:szCs w:val="22"/>
          <w:vertAlign w:val="subscript"/>
          <w:lang w:val="en-ID"/>
        </w:rPr>
        <w:t>1</w:t>
      </w:r>
      <w:r w:rsidRPr="00971361">
        <w:rPr>
          <w:sz w:val="22"/>
          <w:szCs w:val="22"/>
          <w:lang w:val="en-ID"/>
        </w:rPr>
        <w:t xml:space="preserve"> + β</w:t>
      </w:r>
      <w:r w:rsidRPr="00971361">
        <w:rPr>
          <w:sz w:val="22"/>
          <w:szCs w:val="22"/>
          <w:vertAlign w:val="subscript"/>
          <w:lang w:val="en-ID"/>
        </w:rPr>
        <w:t>2</w:t>
      </w:r>
      <w:r w:rsidRPr="00971361">
        <w:rPr>
          <w:sz w:val="22"/>
          <w:szCs w:val="22"/>
          <w:lang w:val="en-ID"/>
        </w:rPr>
        <w:t>X</w:t>
      </w:r>
      <w:r w:rsidRPr="00971361">
        <w:rPr>
          <w:sz w:val="22"/>
          <w:szCs w:val="22"/>
          <w:vertAlign w:val="subscript"/>
          <w:lang w:val="en-ID"/>
        </w:rPr>
        <w:t>2</w:t>
      </w:r>
      <w:r w:rsidRPr="00971361">
        <w:rPr>
          <w:sz w:val="22"/>
          <w:szCs w:val="22"/>
          <w:lang w:val="en-ID"/>
        </w:rPr>
        <w:t xml:space="preserve"> + β</w:t>
      </w:r>
      <w:r w:rsidRPr="00971361">
        <w:rPr>
          <w:sz w:val="22"/>
          <w:szCs w:val="22"/>
          <w:vertAlign w:val="subscript"/>
          <w:lang w:val="en-ID"/>
        </w:rPr>
        <w:t>3</w:t>
      </w:r>
      <w:r w:rsidRPr="00971361">
        <w:rPr>
          <w:sz w:val="22"/>
          <w:szCs w:val="22"/>
          <w:lang w:val="en-ID"/>
        </w:rPr>
        <w:t>X</w:t>
      </w:r>
      <w:r w:rsidRPr="00971361">
        <w:rPr>
          <w:sz w:val="22"/>
          <w:szCs w:val="22"/>
          <w:vertAlign w:val="subscript"/>
          <w:lang w:val="en-ID"/>
        </w:rPr>
        <w:t>3</w:t>
      </w:r>
      <w:r w:rsidRPr="00971361">
        <w:rPr>
          <w:sz w:val="22"/>
          <w:szCs w:val="22"/>
          <w:lang w:val="en-ID"/>
        </w:rPr>
        <w:t xml:space="preserve"> + β</w:t>
      </w:r>
      <w:r w:rsidRPr="00971361">
        <w:rPr>
          <w:sz w:val="22"/>
          <w:szCs w:val="22"/>
          <w:vertAlign w:val="subscript"/>
          <w:lang w:val="en-ID"/>
        </w:rPr>
        <w:t>4</w:t>
      </w:r>
      <w:r w:rsidRPr="00971361">
        <w:rPr>
          <w:sz w:val="22"/>
          <w:szCs w:val="22"/>
          <w:lang w:val="en-ID"/>
        </w:rPr>
        <w:t>X</w:t>
      </w:r>
      <w:r w:rsidRPr="00971361">
        <w:rPr>
          <w:sz w:val="22"/>
          <w:szCs w:val="22"/>
          <w:vertAlign w:val="subscript"/>
          <w:lang w:val="en-ID"/>
        </w:rPr>
        <w:t xml:space="preserve">4 </w:t>
      </w:r>
      <w:r w:rsidRPr="00971361">
        <w:rPr>
          <w:sz w:val="22"/>
          <w:szCs w:val="22"/>
          <w:lang w:val="en-ID"/>
        </w:rPr>
        <w:t>+ β</w:t>
      </w:r>
      <w:r w:rsidRPr="00971361">
        <w:rPr>
          <w:sz w:val="22"/>
          <w:szCs w:val="22"/>
          <w:vertAlign w:val="subscript"/>
          <w:lang w:val="en-ID"/>
        </w:rPr>
        <w:t>5</w:t>
      </w:r>
      <w:r w:rsidRPr="00971361">
        <w:rPr>
          <w:sz w:val="22"/>
          <w:szCs w:val="22"/>
          <w:lang w:val="en-ID"/>
        </w:rPr>
        <w:t>X</w:t>
      </w:r>
      <w:r w:rsidRPr="00971361">
        <w:rPr>
          <w:sz w:val="22"/>
          <w:szCs w:val="22"/>
          <w:vertAlign w:val="subscript"/>
          <w:lang w:val="en-ID"/>
        </w:rPr>
        <w:t>5</w:t>
      </w:r>
      <w:r w:rsidRPr="00971361">
        <w:rPr>
          <w:sz w:val="22"/>
          <w:szCs w:val="22"/>
          <w:lang w:val="en-ID"/>
        </w:rPr>
        <w:t xml:space="preserve"> + β</w:t>
      </w:r>
      <w:r w:rsidRPr="00971361">
        <w:rPr>
          <w:sz w:val="22"/>
          <w:szCs w:val="22"/>
          <w:vertAlign w:val="subscript"/>
          <w:lang w:val="en-ID"/>
        </w:rPr>
        <w:t>6</w:t>
      </w:r>
      <w:r w:rsidRPr="00971361">
        <w:rPr>
          <w:sz w:val="22"/>
          <w:szCs w:val="22"/>
          <w:lang w:val="en-ID"/>
        </w:rPr>
        <w:t>X</w:t>
      </w:r>
      <w:r w:rsidRPr="00971361">
        <w:rPr>
          <w:sz w:val="22"/>
          <w:szCs w:val="22"/>
          <w:vertAlign w:val="subscript"/>
          <w:lang w:val="en-ID"/>
        </w:rPr>
        <w:t>6</w:t>
      </w:r>
      <w:r w:rsidRPr="00971361">
        <w:rPr>
          <w:sz w:val="22"/>
          <w:szCs w:val="22"/>
          <w:lang w:val="en-ID"/>
        </w:rPr>
        <w:t xml:space="preserve"> + β</w:t>
      </w:r>
      <w:r w:rsidRPr="00971361">
        <w:rPr>
          <w:sz w:val="22"/>
          <w:szCs w:val="22"/>
          <w:vertAlign w:val="subscript"/>
          <w:lang w:val="en-ID"/>
        </w:rPr>
        <w:t>7</w:t>
      </w:r>
      <w:r w:rsidRPr="00971361">
        <w:rPr>
          <w:sz w:val="22"/>
          <w:szCs w:val="22"/>
          <w:lang w:val="en-ID"/>
        </w:rPr>
        <w:t>X</w:t>
      </w:r>
      <w:r w:rsidRPr="00971361">
        <w:rPr>
          <w:sz w:val="22"/>
          <w:szCs w:val="22"/>
          <w:vertAlign w:val="subscript"/>
          <w:lang w:val="en-ID"/>
        </w:rPr>
        <w:t>7</w:t>
      </w:r>
      <w:r w:rsidRPr="00971361">
        <w:rPr>
          <w:sz w:val="22"/>
          <w:szCs w:val="22"/>
          <w:lang w:val="en-ID"/>
        </w:rPr>
        <w:t xml:space="preserve"> + V</w:t>
      </w:r>
      <w:r w:rsidRPr="00971361">
        <w:rPr>
          <w:sz w:val="22"/>
          <w:szCs w:val="22"/>
          <w:vertAlign w:val="subscript"/>
          <w:lang w:val="en-ID"/>
        </w:rPr>
        <w:t>2</w:t>
      </w:r>
    </w:p>
    <w:p w:rsidR="00E742ED" w:rsidRPr="00FD6193" w:rsidRDefault="00E742ED" w:rsidP="001841D7">
      <w:pPr>
        <w:autoSpaceDE w:val="0"/>
        <w:autoSpaceDN w:val="0"/>
        <w:adjustRightInd w:val="0"/>
        <w:spacing w:line="276" w:lineRule="auto"/>
        <w:jc w:val="both"/>
        <w:rPr>
          <w:color w:val="000000"/>
          <w:sz w:val="22"/>
          <w:szCs w:val="22"/>
          <w:shd w:val="clear" w:color="auto" w:fill="FFFFFF"/>
        </w:rPr>
      </w:pPr>
      <w:r w:rsidRPr="00FD6193">
        <w:rPr>
          <w:color w:val="000000"/>
          <w:sz w:val="22"/>
          <w:szCs w:val="22"/>
          <w:shd w:val="clear" w:color="auto" w:fill="FFFFFF"/>
        </w:rPr>
        <w:t>Where:</w:t>
      </w:r>
      <w:r w:rsidR="00780F4C">
        <w:rPr>
          <w:color w:val="000000"/>
          <w:sz w:val="22"/>
          <w:szCs w:val="22"/>
          <w:shd w:val="clear" w:color="auto" w:fill="FFFFFF"/>
        </w:rPr>
        <w:t xml:space="preserve"> </w:t>
      </w:r>
      <w:r w:rsidRPr="00FD6193">
        <w:rPr>
          <w:color w:val="000000"/>
          <w:sz w:val="22"/>
          <w:szCs w:val="22"/>
          <w:shd w:val="clear" w:color="auto" w:fill="FFFFFF"/>
        </w:rPr>
        <w:t>WTA= The WTA value of farmers</w:t>
      </w:r>
      <w:r w:rsidR="00780F4C">
        <w:rPr>
          <w:color w:val="000000"/>
          <w:sz w:val="22"/>
          <w:szCs w:val="22"/>
          <w:shd w:val="clear" w:color="auto" w:fill="FFFFFF"/>
        </w:rPr>
        <w:t xml:space="preserve">; </w:t>
      </w:r>
      <w:r w:rsidRPr="00FD6193">
        <w:rPr>
          <w:color w:val="000000"/>
          <w:sz w:val="22"/>
          <w:szCs w:val="22"/>
          <w:shd w:val="clear" w:color="auto" w:fill="FFFFFF"/>
        </w:rPr>
        <w:t>β0 = Constants</w:t>
      </w:r>
      <w:r w:rsidR="00780F4C">
        <w:rPr>
          <w:color w:val="000000"/>
          <w:sz w:val="22"/>
          <w:szCs w:val="22"/>
          <w:shd w:val="clear" w:color="auto" w:fill="FFFFFF"/>
        </w:rPr>
        <w:t xml:space="preserve">; </w:t>
      </w:r>
      <w:r w:rsidRPr="00FD6193">
        <w:rPr>
          <w:color w:val="000000"/>
          <w:sz w:val="22"/>
          <w:szCs w:val="22"/>
          <w:shd w:val="clear" w:color="auto" w:fill="FFFFFF"/>
        </w:rPr>
        <w:t>β1-β7 = Regression coefficient</w:t>
      </w:r>
      <w:r w:rsidR="00780F4C">
        <w:rPr>
          <w:color w:val="000000"/>
          <w:sz w:val="22"/>
          <w:szCs w:val="22"/>
          <w:shd w:val="clear" w:color="auto" w:fill="FFFFFF"/>
        </w:rPr>
        <w:t xml:space="preserve">; </w:t>
      </w:r>
      <w:r w:rsidR="008B430A">
        <w:rPr>
          <w:color w:val="000000"/>
          <w:sz w:val="22"/>
          <w:szCs w:val="22"/>
          <w:shd w:val="clear" w:color="auto" w:fill="FFFFFF"/>
        </w:rPr>
        <w:t>X1 = Farming income (IDR</w:t>
      </w:r>
      <w:r w:rsidRPr="00FD6193">
        <w:rPr>
          <w:color w:val="000000"/>
          <w:sz w:val="22"/>
          <w:szCs w:val="22"/>
          <w:shd w:val="clear" w:color="auto" w:fill="FFFFFF"/>
        </w:rPr>
        <w:t>)</w:t>
      </w:r>
      <w:r w:rsidR="00780F4C">
        <w:rPr>
          <w:color w:val="000000"/>
          <w:sz w:val="22"/>
          <w:szCs w:val="22"/>
          <w:shd w:val="clear" w:color="auto" w:fill="FFFFFF"/>
        </w:rPr>
        <w:t xml:space="preserve">; </w:t>
      </w:r>
      <w:r w:rsidR="008B430A">
        <w:rPr>
          <w:color w:val="000000"/>
          <w:sz w:val="22"/>
          <w:szCs w:val="22"/>
          <w:shd w:val="clear" w:color="auto" w:fill="FFFFFF"/>
        </w:rPr>
        <w:t>X2 = Non-farm income (IDR</w:t>
      </w:r>
      <w:r w:rsidRPr="00FD6193">
        <w:rPr>
          <w:color w:val="000000"/>
          <w:sz w:val="22"/>
          <w:szCs w:val="22"/>
          <w:shd w:val="clear" w:color="auto" w:fill="FFFFFF"/>
        </w:rPr>
        <w:t>)</w:t>
      </w:r>
      <w:r w:rsidR="00780F4C">
        <w:rPr>
          <w:color w:val="000000"/>
          <w:sz w:val="22"/>
          <w:szCs w:val="22"/>
          <w:shd w:val="clear" w:color="auto" w:fill="FFFFFF"/>
        </w:rPr>
        <w:t xml:space="preserve">; </w:t>
      </w:r>
      <w:r w:rsidRPr="00FD6193">
        <w:rPr>
          <w:color w:val="000000"/>
          <w:sz w:val="22"/>
          <w:szCs w:val="22"/>
          <w:shd w:val="clear" w:color="auto" w:fill="FFFFFF"/>
        </w:rPr>
        <w:t xml:space="preserve">X3 = Family </w:t>
      </w:r>
      <w:r w:rsidRPr="00FD6193">
        <w:rPr>
          <w:color w:val="000000"/>
          <w:sz w:val="22"/>
          <w:szCs w:val="22"/>
          <w:shd w:val="clear" w:color="auto" w:fill="FFFFFF"/>
        </w:rPr>
        <w:lastRenderedPageBreak/>
        <w:t>burden (%)</w:t>
      </w:r>
      <w:r w:rsidR="00780F4C">
        <w:rPr>
          <w:color w:val="000000"/>
          <w:sz w:val="22"/>
          <w:szCs w:val="22"/>
          <w:shd w:val="clear" w:color="auto" w:fill="FFFFFF"/>
        </w:rPr>
        <w:t xml:space="preserve">; </w:t>
      </w:r>
      <w:r w:rsidRPr="00FD6193">
        <w:rPr>
          <w:color w:val="000000"/>
          <w:sz w:val="22"/>
          <w:szCs w:val="22"/>
          <w:shd w:val="clear" w:color="auto" w:fill="FFFFFF"/>
        </w:rPr>
        <w:t>X4 = Agricultural land distance to the main road (Km)</w:t>
      </w:r>
      <w:r w:rsidR="00780F4C">
        <w:rPr>
          <w:color w:val="000000"/>
          <w:sz w:val="22"/>
          <w:szCs w:val="22"/>
          <w:shd w:val="clear" w:color="auto" w:fill="FFFFFF"/>
        </w:rPr>
        <w:t xml:space="preserve">; </w:t>
      </w:r>
      <w:r w:rsidRPr="00FD6193">
        <w:rPr>
          <w:color w:val="000000"/>
          <w:sz w:val="22"/>
          <w:szCs w:val="22"/>
          <w:shd w:val="clear" w:color="auto" w:fill="FFFFFF"/>
        </w:rPr>
        <w:t>X5 = farmers' perception of the agricultural land sustainability (%)</w:t>
      </w:r>
      <w:r w:rsidR="00780F4C">
        <w:rPr>
          <w:color w:val="000000"/>
          <w:sz w:val="22"/>
          <w:szCs w:val="22"/>
          <w:shd w:val="clear" w:color="auto" w:fill="FFFFFF"/>
        </w:rPr>
        <w:t xml:space="preserve">; </w:t>
      </w:r>
      <w:r w:rsidRPr="00FD6193">
        <w:rPr>
          <w:color w:val="000000"/>
          <w:sz w:val="22"/>
          <w:szCs w:val="22"/>
          <w:shd w:val="clear" w:color="auto" w:fill="FFFFFF"/>
        </w:rPr>
        <w:t>X6 = Farming experience</w:t>
      </w:r>
      <w:r w:rsidR="00780F4C">
        <w:rPr>
          <w:color w:val="000000"/>
          <w:sz w:val="22"/>
          <w:szCs w:val="22"/>
          <w:shd w:val="clear" w:color="auto" w:fill="FFFFFF"/>
        </w:rPr>
        <w:t xml:space="preserve">; </w:t>
      </w:r>
      <w:r w:rsidRPr="00FD6193">
        <w:rPr>
          <w:color w:val="000000"/>
          <w:sz w:val="22"/>
          <w:szCs w:val="22"/>
          <w:shd w:val="clear" w:color="auto" w:fill="FFFFFF"/>
        </w:rPr>
        <w:t>X7 = IMR</w:t>
      </w:r>
      <w:r w:rsidR="00780F4C">
        <w:rPr>
          <w:color w:val="000000"/>
          <w:sz w:val="22"/>
          <w:szCs w:val="22"/>
          <w:shd w:val="clear" w:color="auto" w:fill="FFFFFF"/>
        </w:rPr>
        <w:t xml:space="preserve">; </w:t>
      </w:r>
      <w:r w:rsidRPr="00FD6193">
        <w:rPr>
          <w:color w:val="000000"/>
          <w:sz w:val="22"/>
          <w:szCs w:val="22"/>
          <w:shd w:val="clear" w:color="auto" w:fill="FFFFFF"/>
        </w:rPr>
        <w:t>V2 = Error term</w:t>
      </w:r>
    </w:p>
    <w:p w:rsidR="004628B6" w:rsidRPr="00FD6193" w:rsidRDefault="004628B6" w:rsidP="001841D7">
      <w:pPr>
        <w:autoSpaceDE w:val="0"/>
        <w:autoSpaceDN w:val="0"/>
        <w:adjustRightInd w:val="0"/>
        <w:spacing w:line="276" w:lineRule="auto"/>
        <w:jc w:val="both"/>
        <w:rPr>
          <w:color w:val="231F20"/>
          <w:sz w:val="22"/>
          <w:szCs w:val="22"/>
        </w:rPr>
      </w:pPr>
    </w:p>
    <w:p w:rsidR="004628B6" w:rsidRPr="00FD6193" w:rsidRDefault="00FD7AB0" w:rsidP="001841D7">
      <w:pPr>
        <w:widowControl w:val="0"/>
        <w:tabs>
          <w:tab w:val="left" w:pos="360"/>
        </w:tabs>
        <w:autoSpaceDE w:val="0"/>
        <w:autoSpaceDN w:val="0"/>
        <w:adjustRightInd w:val="0"/>
        <w:spacing w:line="276" w:lineRule="auto"/>
        <w:ind w:right="-32"/>
        <w:jc w:val="both"/>
        <w:rPr>
          <w:b/>
          <w:sz w:val="22"/>
          <w:szCs w:val="22"/>
        </w:rPr>
      </w:pPr>
      <w:r w:rsidRPr="00FD6193">
        <w:rPr>
          <w:b/>
          <w:bCs/>
          <w:color w:val="231F20"/>
          <w:sz w:val="22"/>
          <w:szCs w:val="22"/>
        </w:rPr>
        <w:t>RESULTS AND DISCUSSION</w:t>
      </w:r>
    </w:p>
    <w:p w:rsidR="00BE7692" w:rsidRPr="00FD6193" w:rsidRDefault="00491714" w:rsidP="001841D7">
      <w:pPr>
        <w:widowControl w:val="0"/>
        <w:autoSpaceDE w:val="0"/>
        <w:autoSpaceDN w:val="0"/>
        <w:adjustRightInd w:val="0"/>
        <w:spacing w:line="276" w:lineRule="auto"/>
        <w:ind w:right="-32"/>
        <w:jc w:val="both"/>
        <w:rPr>
          <w:b/>
          <w:color w:val="222222"/>
          <w:sz w:val="22"/>
          <w:szCs w:val="22"/>
          <w:shd w:val="clear" w:color="auto" w:fill="FFFFFF"/>
          <w:lang w:val="en-ID"/>
        </w:rPr>
      </w:pPr>
      <w:r w:rsidRPr="00FD6193">
        <w:rPr>
          <w:b/>
          <w:color w:val="222222"/>
          <w:sz w:val="22"/>
          <w:szCs w:val="22"/>
          <w:shd w:val="clear" w:color="auto" w:fill="FFFFFF"/>
          <w:lang w:val="en-ID"/>
        </w:rPr>
        <w:t>Farmers’ WTA to Protect A</w:t>
      </w:r>
      <w:r w:rsidR="00BE7692" w:rsidRPr="00FD6193">
        <w:rPr>
          <w:b/>
          <w:color w:val="222222"/>
          <w:sz w:val="22"/>
          <w:szCs w:val="22"/>
          <w:shd w:val="clear" w:color="auto" w:fill="FFFFFF"/>
          <w:lang w:val="en-ID"/>
        </w:rPr>
        <w:t xml:space="preserve">gricultural Land in </w:t>
      </w:r>
      <w:r w:rsidR="00894D26" w:rsidRPr="00FD6193">
        <w:rPr>
          <w:b/>
          <w:color w:val="222222"/>
          <w:sz w:val="22"/>
          <w:szCs w:val="22"/>
          <w:shd w:val="clear" w:color="auto" w:fill="FFFFFF"/>
          <w:lang w:val="en-ID"/>
        </w:rPr>
        <w:t>the</w:t>
      </w:r>
      <w:r w:rsidR="00BE7692" w:rsidRPr="00FD6193">
        <w:rPr>
          <w:b/>
          <w:color w:val="222222"/>
          <w:sz w:val="22"/>
          <w:szCs w:val="22"/>
          <w:shd w:val="clear" w:color="auto" w:fill="FFFFFF"/>
          <w:lang w:val="en-ID"/>
        </w:rPr>
        <w:t xml:space="preserve"> Peri-Urban Areas of Pekalongan City</w:t>
      </w:r>
    </w:p>
    <w:p w:rsidR="00BE7692" w:rsidRDefault="00BE7692"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 xml:space="preserve">Willingness to accept </w:t>
      </w:r>
      <w:r w:rsidR="00A73412" w:rsidRPr="00FD6193">
        <w:rPr>
          <w:color w:val="222222"/>
          <w:sz w:val="22"/>
          <w:szCs w:val="22"/>
          <w:shd w:val="clear" w:color="auto" w:fill="FFFFFF"/>
          <w:lang w:val="en-ID"/>
        </w:rPr>
        <w:t xml:space="preserve">compensation </w:t>
      </w:r>
      <w:r w:rsidRPr="00FD6193">
        <w:rPr>
          <w:color w:val="222222"/>
          <w:sz w:val="22"/>
          <w:szCs w:val="22"/>
          <w:shd w:val="clear" w:color="auto" w:fill="FFFFFF"/>
          <w:lang w:val="en-ID"/>
        </w:rPr>
        <w:t xml:space="preserve">is a method used to determine the preferences of farmers for a natural and </w:t>
      </w:r>
      <w:r w:rsidR="00894D26" w:rsidRPr="00FD6193">
        <w:rPr>
          <w:color w:val="222222"/>
          <w:sz w:val="22"/>
          <w:szCs w:val="22"/>
          <w:shd w:val="clear" w:color="auto" w:fill="FFFFFF"/>
          <w:lang w:val="en-ID"/>
        </w:rPr>
        <w:t>an environmental resource</w:t>
      </w:r>
      <w:r w:rsidRPr="00FD6193">
        <w:rPr>
          <w:color w:val="222222"/>
          <w:sz w:val="22"/>
          <w:szCs w:val="22"/>
          <w:shd w:val="clear" w:color="auto" w:fill="FFFFFF"/>
          <w:lang w:val="en-ID"/>
        </w:rPr>
        <w:t xml:space="preserve"> that they manage or they feel. Farmers’ willingness to accept</w:t>
      </w:r>
      <w:r w:rsidR="00A73412" w:rsidRPr="00FD6193">
        <w:rPr>
          <w:color w:val="222222"/>
          <w:sz w:val="22"/>
          <w:szCs w:val="22"/>
          <w:shd w:val="clear" w:color="auto" w:fill="FFFFFF"/>
          <w:lang w:val="en-ID"/>
        </w:rPr>
        <w:t xml:space="preserve"> compensation or</w:t>
      </w:r>
      <w:r w:rsidRPr="00FD6193">
        <w:rPr>
          <w:color w:val="222222"/>
          <w:sz w:val="22"/>
          <w:szCs w:val="22"/>
          <w:shd w:val="clear" w:color="auto" w:fill="FFFFFF"/>
          <w:lang w:val="en-ID"/>
        </w:rPr>
        <w:t xml:space="preserve"> to protect agricultural land on the peri-urban </w:t>
      </w:r>
      <w:r w:rsidR="00723591" w:rsidRPr="00FD6193">
        <w:rPr>
          <w:color w:val="222222"/>
          <w:sz w:val="22"/>
          <w:szCs w:val="22"/>
          <w:shd w:val="clear" w:color="auto" w:fill="FFFFFF"/>
          <w:lang w:val="en-ID"/>
        </w:rPr>
        <w:t>areas of Pekalongan City will relate</w:t>
      </w:r>
      <w:r w:rsidRPr="00FD6193">
        <w:rPr>
          <w:color w:val="222222"/>
          <w:sz w:val="22"/>
          <w:szCs w:val="22"/>
          <w:shd w:val="clear" w:color="auto" w:fill="FFFFFF"/>
          <w:lang w:val="en-ID"/>
        </w:rPr>
        <w:t xml:space="preserve"> to the sustainability of agricultural land in the peri-urban. In this study, farmers were asked directly about their willingness to protect agricultural land that is currently owned and managed. Farmers can answer "yes" or "no". Farmers with "yes" answers show the willingness of farmers to protect the existence of agricultural land owned and managed voluntarily without being willing or wanting a certain compensation. In addition to the "yes" answer, the farmer</w:t>
      </w:r>
      <w:r w:rsidR="00C259E4" w:rsidRPr="00FD6193">
        <w:rPr>
          <w:color w:val="222222"/>
          <w:sz w:val="22"/>
          <w:szCs w:val="22"/>
          <w:shd w:val="clear" w:color="auto" w:fill="FFFFFF"/>
          <w:lang w:val="en-ID"/>
        </w:rPr>
        <w:t>s</w:t>
      </w:r>
      <w:r w:rsidRPr="00FD6193">
        <w:rPr>
          <w:color w:val="222222"/>
          <w:sz w:val="22"/>
          <w:szCs w:val="22"/>
          <w:shd w:val="clear" w:color="auto" w:fill="FFFFFF"/>
          <w:lang w:val="en-ID"/>
        </w:rPr>
        <w:t xml:space="preserve"> can answer "no", which means that the farmer</w:t>
      </w:r>
      <w:r w:rsidR="00C259E4" w:rsidRPr="00FD6193">
        <w:rPr>
          <w:color w:val="222222"/>
          <w:sz w:val="22"/>
          <w:szCs w:val="22"/>
          <w:shd w:val="clear" w:color="auto" w:fill="FFFFFF"/>
          <w:lang w:val="en-ID"/>
        </w:rPr>
        <w:t>s are</w:t>
      </w:r>
      <w:r w:rsidRPr="00FD6193">
        <w:rPr>
          <w:color w:val="222222"/>
          <w:sz w:val="22"/>
          <w:szCs w:val="22"/>
          <w:shd w:val="clear" w:color="auto" w:fill="FFFFFF"/>
          <w:lang w:val="en-ID"/>
        </w:rPr>
        <w:t xml:space="preserve"> not willing to protect the agricultural land </w:t>
      </w:r>
      <w:r w:rsidR="005E0010" w:rsidRPr="00FD6193">
        <w:rPr>
          <w:color w:val="222222"/>
          <w:sz w:val="22"/>
          <w:szCs w:val="22"/>
          <w:shd w:val="clear" w:color="auto" w:fill="FFFFFF"/>
          <w:lang w:val="en-ID"/>
        </w:rPr>
        <w:t xml:space="preserve">that was </w:t>
      </w:r>
      <w:r w:rsidRPr="00FD6193">
        <w:rPr>
          <w:color w:val="222222"/>
          <w:sz w:val="22"/>
          <w:szCs w:val="22"/>
          <w:shd w:val="clear" w:color="auto" w:fill="FFFFFF"/>
          <w:lang w:val="en-ID"/>
        </w:rPr>
        <w:t>owned and managed volunt</w:t>
      </w:r>
      <w:r w:rsidR="005E0010" w:rsidRPr="00FD6193">
        <w:rPr>
          <w:color w:val="222222"/>
          <w:sz w:val="22"/>
          <w:szCs w:val="22"/>
          <w:shd w:val="clear" w:color="auto" w:fill="FFFFFF"/>
          <w:lang w:val="en-ID"/>
        </w:rPr>
        <w:t xml:space="preserve">arily. </w:t>
      </w:r>
      <w:r w:rsidRPr="00FD6193">
        <w:rPr>
          <w:color w:val="222222"/>
          <w:sz w:val="22"/>
          <w:szCs w:val="22"/>
          <w:shd w:val="clear" w:color="auto" w:fill="FFFFFF"/>
          <w:lang w:val="en-ID"/>
        </w:rPr>
        <w:t>The distribution of willingness of farmers to accept or reject compensation (WTA) can be seen in table 1.</w:t>
      </w:r>
    </w:p>
    <w:p w:rsidR="00C95653" w:rsidRDefault="00C95653"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C95653" w:rsidRPr="00C95653" w:rsidRDefault="00C95653" w:rsidP="001841D7">
      <w:pPr>
        <w:spacing w:line="276" w:lineRule="auto"/>
        <w:jc w:val="both"/>
        <w:rPr>
          <w:sz w:val="22"/>
          <w:szCs w:val="22"/>
        </w:rPr>
      </w:pPr>
      <w:r w:rsidRPr="00C95653">
        <w:rPr>
          <w:b/>
          <w:sz w:val="22"/>
          <w:szCs w:val="22"/>
        </w:rPr>
        <w:t xml:space="preserve">Table 1. </w:t>
      </w:r>
      <w:r w:rsidRPr="00C95653">
        <w:rPr>
          <w:sz w:val="22"/>
          <w:szCs w:val="22"/>
        </w:rPr>
        <w:t xml:space="preserve">Distribution of </w:t>
      </w:r>
      <w:r w:rsidRPr="00C95653">
        <w:rPr>
          <w:sz w:val="22"/>
          <w:szCs w:val="22"/>
          <w:lang w:val="en-ID"/>
        </w:rPr>
        <w:t xml:space="preserve">Farmers’ </w:t>
      </w:r>
      <w:r w:rsidRPr="00C95653">
        <w:rPr>
          <w:sz w:val="22"/>
          <w:szCs w:val="22"/>
        </w:rPr>
        <w:t>Willing</w:t>
      </w:r>
      <w:r w:rsidRPr="00C95653">
        <w:rPr>
          <w:sz w:val="22"/>
          <w:szCs w:val="22"/>
          <w:lang w:val="en-ID"/>
        </w:rPr>
        <w:t>ness</w:t>
      </w:r>
      <w:r w:rsidRPr="00C95653">
        <w:rPr>
          <w:sz w:val="22"/>
          <w:szCs w:val="22"/>
        </w:rPr>
        <w:t xml:space="preserve"> to Accept or </w:t>
      </w:r>
      <w:r w:rsidRPr="00C95653">
        <w:rPr>
          <w:sz w:val="22"/>
          <w:szCs w:val="22"/>
          <w:lang w:val="en-ID"/>
        </w:rPr>
        <w:t>Reject a</w:t>
      </w:r>
      <w:r w:rsidRPr="00C95653">
        <w:rPr>
          <w:sz w:val="22"/>
          <w:szCs w:val="22"/>
        </w:rPr>
        <w:t xml:space="preserve"> Compensation (WTA)</w:t>
      </w:r>
    </w:p>
    <w:tbl>
      <w:tblPr>
        <w:tblW w:w="5000" w:type="pct"/>
        <w:tblBorders>
          <w:top w:val="single" w:sz="4" w:space="0" w:color="auto"/>
          <w:bottom w:val="single" w:sz="4" w:space="0" w:color="auto"/>
        </w:tblBorders>
        <w:tblLook w:val="04A0" w:firstRow="1" w:lastRow="0" w:firstColumn="1" w:lastColumn="0" w:noHBand="0" w:noVBand="1"/>
      </w:tblPr>
      <w:tblGrid>
        <w:gridCol w:w="3507"/>
        <w:gridCol w:w="2206"/>
        <w:gridCol w:w="2441"/>
      </w:tblGrid>
      <w:tr w:rsidR="00C95653" w:rsidRPr="00C95653" w:rsidTr="00E60569">
        <w:trPr>
          <w:trHeight w:val="50"/>
        </w:trPr>
        <w:tc>
          <w:tcPr>
            <w:tcW w:w="2150" w:type="pct"/>
            <w:tcBorders>
              <w:top w:val="single" w:sz="4" w:space="0" w:color="auto"/>
              <w:bottom w:val="single" w:sz="4" w:space="0" w:color="auto"/>
            </w:tcBorders>
            <w:shd w:val="clear" w:color="auto" w:fill="auto"/>
            <w:vAlign w:val="center"/>
            <w:hideMark/>
          </w:tcPr>
          <w:p w:rsidR="00C95653" w:rsidRPr="00C95653" w:rsidRDefault="00C95653" w:rsidP="001841D7">
            <w:pPr>
              <w:rPr>
                <w:color w:val="000000"/>
                <w:sz w:val="20"/>
                <w:szCs w:val="20"/>
                <w:lang w:eastAsia="en-ID"/>
              </w:rPr>
            </w:pPr>
            <w:r w:rsidRPr="00C95653">
              <w:rPr>
                <w:color w:val="000000"/>
                <w:sz w:val="20"/>
                <w:szCs w:val="20"/>
                <w:lang w:eastAsia="en-ID"/>
              </w:rPr>
              <w:t>Category of Farmer</w:t>
            </w:r>
            <w:r w:rsidRPr="00C95653">
              <w:rPr>
                <w:color w:val="000000"/>
                <w:sz w:val="20"/>
                <w:szCs w:val="20"/>
                <w:lang w:val="en-ID" w:eastAsia="en-ID"/>
              </w:rPr>
              <w:t>s’</w:t>
            </w:r>
            <w:r w:rsidRPr="00C95653">
              <w:rPr>
                <w:color w:val="000000"/>
                <w:sz w:val="20"/>
                <w:szCs w:val="20"/>
                <w:lang w:eastAsia="en-ID"/>
              </w:rPr>
              <w:t xml:space="preserve"> Willing</w:t>
            </w:r>
          </w:p>
        </w:tc>
        <w:tc>
          <w:tcPr>
            <w:tcW w:w="1353" w:type="pct"/>
            <w:tcBorders>
              <w:top w:val="single" w:sz="4" w:space="0" w:color="auto"/>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val="en-ID" w:eastAsia="en-ID"/>
              </w:rPr>
              <w:t>Total</w:t>
            </w:r>
            <w:r w:rsidRPr="00C95653">
              <w:rPr>
                <w:color w:val="000000"/>
                <w:sz w:val="20"/>
                <w:szCs w:val="20"/>
                <w:lang w:eastAsia="en-ID"/>
              </w:rPr>
              <w:t xml:space="preserve"> (Person)</w:t>
            </w:r>
          </w:p>
        </w:tc>
        <w:tc>
          <w:tcPr>
            <w:tcW w:w="1497" w:type="pct"/>
            <w:tcBorders>
              <w:top w:val="single" w:sz="4" w:space="0" w:color="auto"/>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Percentage (%)</w:t>
            </w:r>
          </w:p>
        </w:tc>
      </w:tr>
      <w:tr w:rsidR="00C95653" w:rsidRPr="00C95653" w:rsidTr="00E60569">
        <w:trPr>
          <w:trHeight w:val="50"/>
        </w:trPr>
        <w:tc>
          <w:tcPr>
            <w:tcW w:w="2150" w:type="pct"/>
            <w:tcBorders>
              <w:top w:val="single" w:sz="4" w:space="0" w:color="auto"/>
            </w:tcBorders>
            <w:shd w:val="clear" w:color="auto" w:fill="auto"/>
            <w:vAlign w:val="center"/>
            <w:hideMark/>
          </w:tcPr>
          <w:p w:rsidR="00C95653" w:rsidRPr="00C95653" w:rsidRDefault="00C95653" w:rsidP="001841D7">
            <w:pPr>
              <w:rPr>
                <w:color w:val="000000"/>
                <w:sz w:val="20"/>
                <w:szCs w:val="20"/>
                <w:lang w:eastAsia="en-ID"/>
              </w:rPr>
            </w:pPr>
            <w:r w:rsidRPr="00C95653">
              <w:rPr>
                <w:color w:val="000000"/>
                <w:sz w:val="20"/>
                <w:szCs w:val="20"/>
                <w:lang w:val="en-ID" w:eastAsia="en-ID"/>
              </w:rPr>
              <w:t>Reject</w:t>
            </w:r>
            <w:r w:rsidRPr="00C95653">
              <w:rPr>
                <w:color w:val="000000"/>
                <w:sz w:val="20"/>
                <w:szCs w:val="20"/>
                <w:lang w:eastAsia="en-ID"/>
              </w:rPr>
              <w:t xml:space="preserve"> (WTA=0)</w:t>
            </w:r>
          </w:p>
        </w:tc>
        <w:tc>
          <w:tcPr>
            <w:tcW w:w="1353" w:type="pct"/>
            <w:tcBorders>
              <w:top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57</w:t>
            </w:r>
          </w:p>
        </w:tc>
        <w:tc>
          <w:tcPr>
            <w:tcW w:w="1497" w:type="pct"/>
            <w:tcBorders>
              <w:top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63.33</w:t>
            </w:r>
          </w:p>
        </w:tc>
      </w:tr>
      <w:tr w:rsidR="00C95653" w:rsidRPr="00C95653" w:rsidTr="00E60569">
        <w:trPr>
          <w:trHeight w:val="60"/>
        </w:trPr>
        <w:tc>
          <w:tcPr>
            <w:tcW w:w="2150" w:type="pct"/>
            <w:tcBorders>
              <w:bottom w:val="single" w:sz="4" w:space="0" w:color="auto"/>
            </w:tcBorders>
            <w:shd w:val="clear" w:color="auto" w:fill="auto"/>
            <w:vAlign w:val="center"/>
            <w:hideMark/>
          </w:tcPr>
          <w:p w:rsidR="00C95653" w:rsidRPr="00C95653" w:rsidRDefault="00C95653" w:rsidP="001841D7">
            <w:pPr>
              <w:rPr>
                <w:color w:val="000000"/>
                <w:sz w:val="20"/>
                <w:szCs w:val="20"/>
                <w:lang w:eastAsia="en-ID"/>
              </w:rPr>
            </w:pPr>
            <w:r w:rsidRPr="00C95653">
              <w:rPr>
                <w:color w:val="000000"/>
                <w:sz w:val="20"/>
                <w:szCs w:val="20"/>
                <w:lang w:val="en-ID" w:eastAsia="en-ID"/>
              </w:rPr>
              <w:t>Accept</w:t>
            </w:r>
            <w:r w:rsidRPr="00C95653">
              <w:rPr>
                <w:color w:val="000000"/>
                <w:sz w:val="20"/>
                <w:szCs w:val="20"/>
                <w:lang w:eastAsia="en-ID"/>
              </w:rPr>
              <w:t xml:space="preserve"> (WTA&gt;0)</w:t>
            </w:r>
          </w:p>
        </w:tc>
        <w:tc>
          <w:tcPr>
            <w:tcW w:w="1353" w:type="pct"/>
            <w:tcBorders>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33</w:t>
            </w:r>
          </w:p>
        </w:tc>
        <w:tc>
          <w:tcPr>
            <w:tcW w:w="1497" w:type="pct"/>
            <w:tcBorders>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36.67</w:t>
            </w:r>
          </w:p>
        </w:tc>
      </w:tr>
      <w:tr w:rsidR="00C95653" w:rsidRPr="00C95653" w:rsidTr="00E60569">
        <w:trPr>
          <w:trHeight w:val="50"/>
        </w:trPr>
        <w:tc>
          <w:tcPr>
            <w:tcW w:w="2150" w:type="pct"/>
            <w:tcBorders>
              <w:top w:val="single" w:sz="4" w:space="0" w:color="auto"/>
              <w:bottom w:val="single" w:sz="4" w:space="0" w:color="auto"/>
            </w:tcBorders>
            <w:shd w:val="clear" w:color="auto" w:fill="auto"/>
            <w:vAlign w:val="center"/>
            <w:hideMark/>
          </w:tcPr>
          <w:p w:rsidR="00C95653" w:rsidRPr="00C95653" w:rsidRDefault="00C95653" w:rsidP="001841D7">
            <w:pPr>
              <w:rPr>
                <w:color w:val="000000"/>
                <w:sz w:val="20"/>
                <w:szCs w:val="20"/>
                <w:lang w:val="en-ID" w:eastAsia="en-ID"/>
              </w:rPr>
            </w:pPr>
            <w:r w:rsidRPr="00C95653">
              <w:rPr>
                <w:color w:val="000000"/>
                <w:sz w:val="20"/>
                <w:szCs w:val="20"/>
                <w:lang w:val="en-ID" w:eastAsia="en-ID"/>
              </w:rPr>
              <w:t>Total</w:t>
            </w:r>
          </w:p>
        </w:tc>
        <w:tc>
          <w:tcPr>
            <w:tcW w:w="1353" w:type="pct"/>
            <w:tcBorders>
              <w:top w:val="single" w:sz="4" w:space="0" w:color="auto"/>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90</w:t>
            </w:r>
          </w:p>
        </w:tc>
        <w:tc>
          <w:tcPr>
            <w:tcW w:w="1497" w:type="pct"/>
            <w:tcBorders>
              <w:top w:val="single" w:sz="4" w:space="0" w:color="auto"/>
              <w:bottom w:val="single" w:sz="4" w:space="0" w:color="auto"/>
            </w:tcBorders>
            <w:shd w:val="clear" w:color="auto" w:fill="auto"/>
            <w:vAlign w:val="center"/>
            <w:hideMark/>
          </w:tcPr>
          <w:p w:rsidR="00C95653" w:rsidRPr="00C95653" w:rsidRDefault="00C95653" w:rsidP="001841D7">
            <w:pPr>
              <w:jc w:val="right"/>
              <w:rPr>
                <w:color w:val="000000"/>
                <w:sz w:val="20"/>
                <w:szCs w:val="20"/>
                <w:lang w:eastAsia="en-ID"/>
              </w:rPr>
            </w:pPr>
            <w:r w:rsidRPr="00C95653">
              <w:rPr>
                <w:color w:val="000000"/>
                <w:sz w:val="20"/>
                <w:szCs w:val="20"/>
                <w:lang w:eastAsia="en-ID"/>
              </w:rPr>
              <w:t>100.00</w:t>
            </w:r>
          </w:p>
        </w:tc>
      </w:tr>
    </w:tbl>
    <w:p w:rsidR="00C95653" w:rsidRPr="00C95653" w:rsidRDefault="00C95653" w:rsidP="001841D7">
      <w:pPr>
        <w:spacing w:line="276" w:lineRule="auto"/>
        <w:jc w:val="both"/>
        <w:rPr>
          <w:sz w:val="22"/>
          <w:szCs w:val="22"/>
        </w:rPr>
      </w:pPr>
      <w:r w:rsidRPr="00C95653">
        <w:rPr>
          <w:sz w:val="22"/>
          <w:szCs w:val="22"/>
        </w:rPr>
        <w:t xml:space="preserve">Source: </w:t>
      </w:r>
      <w:r>
        <w:rPr>
          <w:sz w:val="22"/>
          <w:szCs w:val="22"/>
        </w:rPr>
        <w:t>Analysis of Primary Data (</w:t>
      </w:r>
      <w:r w:rsidRPr="00C95653">
        <w:rPr>
          <w:sz w:val="22"/>
          <w:szCs w:val="22"/>
        </w:rPr>
        <w:t>2019</w:t>
      </w:r>
      <w:r>
        <w:rPr>
          <w:sz w:val="22"/>
          <w:szCs w:val="22"/>
        </w:rPr>
        <w:t>)</w:t>
      </w:r>
    </w:p>
    <w:p w:rsidR="00C95653" w:rsidRPr="00FD6193" w:rsidRDefault="00C95653"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722F9D" w:rsidRDefault="00BE7692"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 xml:space="preserve">Based on table 1, it can be seen that as many as 57 respondents or 63.33 percent of farmers on the peri-urban areas of Pekalongan City refused to receive compensation to protect the existence of agricultural land owned and managed. This means that 63.33 percent of farmers on the peri-urban areas of Pekalongan City are willing to continue to maintain the agricultural land that is currently owned and managed voluntarily without demanding a certain compensation (rejecting the WTA). However, there were 33 respondents or </w:t>
      </w:r>
      <w:r w:rsidR="000D55C5" w:rsidRPr="00FD6193">
        <w:rPr>
          <w:color w:val="222222"/>
          <w:sz w:val="22"/>
          <w:szCs w:val="22"/>
          <w:shd w:val="clear" w:color="auto" w:fill="FFFFFF"/>
          <w:lang w:val="en-ID"/>
        </w:rPr>
        <w:t>36.67 percent of farmers i</w:t>
      </w:r>
      <w:r w:rsidRPr="00FD6193">
        <w:rPr>
          <w:color w:val="222222"/>
          <w:sz w:val="22"/>
          <w:szCs w:val="22"/>
          <w:shd w:val="clear" w:color="auto" w:fill="FFFFFF"/>
          <w:lang w:val="en-ID"/>
        </w:rPr>
        <w:t>n the peri-urban areas of Pekalongan City were willing to receive compensation in return for retaining their agricultural land owned and managed. These results mean that 36.67 percent of farmers on the peri-urban areas of Pekalongan City are not willing to protect agricultural land owned and managed voluntarily, and demand compensation (receiving WTA), so the existence of agricultural land on the peri-urban areas of Pekalongan City can be maintained.</w:t>
      </w:r>
    </w:p>
    <w:p w:rsidR="00BE7692" w:rsidRPr="00FD6193" w:rsidRDefault="00BE7692"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Table 1 shows that most farmers on the peri-urban areas of Pekalongan City are willing to protect their agricultural land voluntarily, so this means that the willingness of farmers to maintain the sustainability of agricultural land in the peri-urban is included in the high category. The high willingness of farmers to protect the agricultural land they own and ma</w:t>
      </w:r>
      <w:r w:rsidR="007E7D31" w:rsidRPr="00FD6193">
        <w:rPr>
          <w:color w:val="222222"/>
          <w:sz w:val="22"/>
          <w:szCs w:val="22"/>
          <w:shd w:val="clear" w:color="auto" w:fill="FFFFFF"/>
          <w:lang w:val="en-ID"/>
        </w:rPr>
        <w:t>nage is caused by several factors</w:t>
      </w:r>
      <w:r w:rsidRPr="00FD6193">
        <w:rPr>
          <w:color w:val="222222"/>
          <w:sz w:val="22"/>
          <w:szCs w:val="22"/>
          <w:shd w:val="clear" w:color="auto" w:fill="FFFFFF"/>
          <w:lang w:val="en-ID"/>
        </w:rPr>
        <w:t xml:space="preserve">, namely the skills of farmers who are limited </w:t>
      </w:r>
      <w:r w:rsidRPr="00FD6193">
        <w:rPr>
          <w:color w:val="222222"/>
          <w:sz w:val="22"/>
          <w:szCs w:val="22"/>
          <w:shd w:val="clear" w:color="auto" w:fill="FFFFFF"/>
          <w:lang w:val="en-ID"/>
        </w:rPr>
        <w:lastRenderedPageBreak/>
        <w:t>to agriculture, making agricultural land an asset or savings which can be made in the form of money, and the status of agricultural land - hereditary parents. Farmers are willing to keep maintaining agricultural land voluntarily because they consider agriculture to be the only s</w:t>
      </w:r>
      <w:r w:rsidR="00EB22C0" w:rsidRPr="00FD6193">
        <w:rPr>
          <w:color w:val="222222"/>
          <w:sz w:val="22"/>
          <w:szCs w:val="22"/>
          <w:shd w:val="clear" w:color="auto" w:fill="FFFFFF"/>
          <w:lang w:val="en-ID"/>
        </w:rPr>
        <w:t xml:space="preserve">kill they have to work, so </w:t>
      </w:r>
      <w:r w:rsidRPr="00FD6193">
        <w:rPr>
          <w:color w:val="222222"/>
          <w:sz w:val="22"/>
          <w:szCs w:val="22"/>
          <w:shd w:val="clear" w:color="auto" w:fill="FFFFFF"/>
          <w:lang w:val="en-ID"/>
        </w:rPr>
        <w:t>agricultural land becomes the main source of family income and the main source of family food.</w:t>
      </w:r>
    </w:p>
    <w:p w:rsidR="00BE7692" w:rsidRPr="00FD6193" w:rsidRDefault="00BE7692"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A small percentage of farme</w:t>
      </w:r>
      <w:r w:rsidR="00C8700B" w:rsidRPr="00FD6193">
        <w:rPr>
          <w:color w:val="222222"/>
          <w:sz w:val="22"/>
          <w:szCs w:val="22"/>
          <w:shd w:val="clear" w:color="auto" w:fill="FFFFFF"/>
          <w:lang w:val="en-ID"/>
        </w:rPr>
        <w:t>rs i</w:t>
      </w:r>
      <w:r w:rsidRPr="00FD6193">
        <w:rPr>
          <w:color w:val="222222"/>
          <w:sz w:val="22"/>
          <w:szCs w:val="22"/>
          <w:shd w:val="clear" w:color="auto" w:fill="FFFFFF"/>
          <w:lang w:val="en-ID"/>
        </w:rPr>
        <w:t xml:space="preserve">n the peri-urban areas of Pekalongan City are not willing to maintain voluntarily agricultural land that they owned. This is because the condition of </w:t>
      </w:r>
      <w:r w:rsidR="00C8700B" w:rsidRPr="00FD6193">
        <w:rPr>
          <w:color w:val="222222"/>
          <w:sz w:val="22"/>
          <w:szCs w:val="22"/>
          <w:shd w:val="clear" w:color="auto" w:fill="FFFFFF"/>
          <w:lang w:val="en-ID"/>
        </w:rPr>
        <w:t xml:space="preserve">the </w:t>
      </w:r>
      <w:r w:rsidRPr="00FD6193">
        <w:rPr>
          <w:color w:val="222222"/>
          <w:sz w:val="22"/>
          <w:szCs w:val="22"/>
          <w:shd w:val="clear" w:color="auto" w:fill="FFFFFF"/>
          <w:lang w:val="en-ID"/>
        </w:rPr>
        <w:t xml:space="preserve">agricultural land owned and managed by farmers currently has poor environmental conditions, namely continuous intrusion of sea water and pollution of irrigation water </w:t>
      </w:r>
      <w:r w:rsidR="00C8700B" w:rsidRPr="00FD6193">
        <w:rPr>
          <w:color w:val="222222"/>
          <w:sz w:val="22"/>
          <w:szCs w:val="22"/>
          <w:shd w:val="clear" w:color="auto" w:fill="FFFFFF"/>
          <w:lang w:val="en-ID"/>
        </w:rPr>
        <w:t xml:space="preserve">caused </w:t>
      </w:r>
      <w:r w:rsidRPr="00FD6193">
        <w:rPr>
          <w:color w:val="222222"/>
          <w:sz w:val="22"/>
          <w:szCs w:val="22"/>
          <w:shd w:val="clear" w:color="auto" w:fill="FFFFFF"/>
          <w:lang w:val="en-ID"/>
        </w:rPr>
        <w:t>by batik industry waste or the jeans industry. Poor environmental conditions considered by farmers have caused agricultural land to become unproductive, so it does not provide benefits to farmers. Therefore, farmers want and are willing to receive compensation (WTA) to maintain the</w:t>
      </w:r>
      <w:r w:rsidR="00244BBC" w:rsidRPr="00FD6193">
        <w:rPr>
          <w:color w:val="222222"/>
          <w:sz w:val="22"/>
          <w:szCs w:val="22"/>
          <w:shd w:val="clear" w:color="auto" w:fill="FFFFFF"/>
          <w:lang w:val="en-ID"/>
        </w:rPr>
        <w:t xml:space="preserve"> </w:t>
      </w:r>
      <w:r w:rsidRPr="00FD6193">
        <w:rPr>
          <w:color w:val="222222"/>
          <w:sz w:val="22"/>
          <w:szCs w:val="22"/>
          <w:shd w:val="clear" w:color="auto" w:fill="FFFFFF"/>
          <w:lang w:val="en-ID"/>
        </w:rPr>
        <w:t>sustainability of agricultural land in the peri-urban areas of Pekalongan City.</w:t>
      </w:r>
    </w:p>
    <w:p w:rsidR="00BE7692" w:rsidRDefault="00BE7692"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The amount of compensation</w:t>
      </w:r>
      <w:r w:rsidR="008673A9" w:rsidRPr="00FD6193">
        <w:rPr>
          <w:color w:val="222222"/>
          <w:sz w:val="22"/>
          <w:szCs w:val="22"/>
          <w:shd w:val="clear" w:color="auto" w:fill="FFFFFF"/>
          <w:lang w:val="en-ID"/>
        </w:rPr>
        <w:t xml:space="preserve"> that the farmers are desired and willing to </w:t>
      </w:r>
      <w:r w:rsidRPr="00FD6193">
        <w:rPr>
          <w:color w:val="222222"/>
          <w:sz w:val="22"/>
          <w:szCs w:val="22"/>
          <w:shd w:val="clear" w:color="auto" w:fill="FFFFFF"/>
          <w:lang w:val="en-ID"/>
        </w:rPr>
        <w:t>receive is known by using the open-ended ques</w:t>
      </w:r>
      <w:r w:rsidR="00CD6B40" w:rsidRPr="00FD6193">
        <w:rPr>
          <w:color w:val="222222"/>
          <w:sz w:val="22"/>
          <w:szCs w:val="22"/>
          <w:shd w:val="clear" w:color="auto" w:fill="FFFFFF"/>
          <w:lang w:val="en-ID"/>
        </w:rPr>
        <w:t>tions method and bidding method. Then, the</w:t>
      </w:r>
      <w:r w:rsidRPr="00FD6193">
        <w:rPr>
          <w:color w:val="222222"/>
          <w:sz w:val="22"/>
          <w:szCs w:val="22"/>
          <w:shd w:val="clear" w:color="auto" w:fill="FFFFFF"/>
          <w:lang w:val="en-ID"/>
        </w:rPr>
        <w:t xml:space="preserve"> compensation value</w:t>
      </w:r>
      <w:r w:rsidR="00D4455D" w:rsidRPr="00FD6193">
        <w:rPr>
          <w:color w:val="222222"/>
          <w:sz w:val="22"/>
          <w:szCs w:val="22"/>
          <w:shd w:val="clear" w:color="auto" w:fill="FFFFFF"/>
          <w:lang w:val="en-ID"/>
        </w:rPr>
        <w:t xml:space="preserve">s or </w:t>
      </w:r>
      <w:r w:rsidR="00CD6B40" w:rsidRPr="00FD6193">
        <w:rPr>
          <w:color w:val="222222"/>
          <w:sz w:val="22"/>
          <w:szCs w:val="22"/>
          <w:shd w:val="clear" w:color="auto" w:fill="FFFFFF"/>
          <w:lang w:val="en-ID"/>
        </w:rPr>
        <w:t xml:space="preserve">the </w:t>
      </w:r>
      <w:r w:rsidR="00D4455D" w:rsidRPr="00FD6193">
        <w:rPr>
          <w:color w:val="222222"/>
          <w:sz w:val="22"/>
          <w:szCs w:val="22"/>
          <w:shd w:val="clear" w:color="auto" w:fill="FFFFFF"/>
          <w:lang w:val="en-ID"/>
        </w:rPr>
        <w:t xml:space="preserve">optimum WTA values with which farmers </w:t>
      </w:r>
      <w:r w:rsidRPr="00FD6193">
        <w:rPr>
          <w:color w:val="222222"/>
          <w:sz w:val="22"/>
          <w:szCs w:val="22"/>
          <w:shd w:val="clear" w:color="auto" w:fill="FFFFFF"/>
          <w:lang w:val="en-ID"/>
        </w:rPr>
        <w:t xml:space="preserve">are willing to accept </w:t>
      </w:r>
      <w:r w:rsidR="00CD6B40" w:rsidRPr="00FD6193">
        <w:rPr>
          <w:color w:val="222222"/>
          <w:sz w:val="22"/>
          <w:szCs w:val="22"/>
          <w:shd w:val="clear" w:color="auto" w:fill="FFFFFF"/>
          <w:lang w:val="en-ID"/>
        </w:rPr>
        <w:t>in order</w:t>
      </w:r>
      <w:r w:rsidR="00D4455D" w:rsidRPr="00FD6193">
        <w:rPr>
          <w:color w:val="222222"/>
          <w:sz w:val="22"/>
          <w:szCs w:val="22"/>
          <w:shd w:val="clear" w:color="auto" w:fill="FFFFFF"/>
          <w:lang w:val="en-ID"/>
        </w:rPr>
        <w:t xml:space="preserve"> </w:t>
      </w:r>
      <w:r w:rsidRPr="00FD6193">
        <w:rPr>
          <w:color w:val="222222"/>
          <w:sz w:val="22"/>
          <w:szCs w:val="22"/>
          <w:shd w:val="clear" w:color="auto" w:fill="FFFFFF"/>
          <w:lang w:val="en-ID"/>
        </w:rPr>
        <w:t xml:space="preserve">to protect </w:t>
      </w:r>
      <w:r w:rsidR="00CD6B40" w:rsidRPr="00FD6193">
        <w:rPr>
          <w:color w:val="222222"/>
          <w:sz w:val="22"/>
          <w:szCs w:val="22"/>
          <w:shd w:val="clear" w:color="auto" w:fill="FFFFFF"/>
          <w:lang w:val="en-ID"/>
        </w:rPr>
        <w:t xml:space="preserve">the </w:t>
      </w:r>
      <w:r w:rsidRPr="00FD6193">
        <w:rPr>
          <w:color w:val="222222"/>
          <w:sz w:val="22"/>
          <w:szCs w:val="22"/>
          <w:shd w:val="clear" w:color="auto" w:fill="FFFFFF"/>
          <w:lang w:val="en-ID"/>
        </w:rPr>
        <w:t>agricultural land in the peri-urban areas of Pekalongan City</w:t>
      </w:r>
      <w:r w:rsidR="00CD6B40" w:rsidRPr="00FD6193">
        <w:rPr>
          <w:color w:val="222222"/>
          <w:sz w:val="22"/>
          <w:szCs w:val="22"/>
          <w:shd w:val="clear" w:color="auto" w:fill="FFFFFF"/>
          <w:lang w:val="en-ID"/>
        </w:rPr>
        <w:t xml:space="preserve"> will be found</w:t>
      </w:r>
      <w:r w:rsidRPr="00FD6193">
        <w:rPr>
          <w:color w:val="222222"/>
          <w:sz w:val="22"/>
          <w:szCs w:val="22"/>
          <w:shd w:val="clear" w:color="auto" w:fill="FFFFFF"/>
          <w:lang w:val="en-ID"/>
        </w:rPr>
        <w:t>. The average value of WTA willing to be accepted by farmers to protect the sustainability of agricultural land in the peri-urban areas of Pekalongan City can be seen in table 2.</w:t>
      </w:r>
    </w:p>
    <w:p w:rsidR="00EA5F2F" w:rsidRPr="00FD6193" w:rsidRDefault="00EA5F2F"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EA5F2F" w:rsidRPr="00EA5F2F" w:rsidRDefault="00EA5F2F" w:rsidP="001841D7">
      <w:pPr>
        <w:spacing w:line="276" w:lineRule="auto"/>
        <w:jc w:val="both"/>
        <w:rPr>
          <w:sz w:val="22"/>
          <w:szCs w:val="22"/>
        </w:rPr>
      </w:pPr>
      <w:r w:rsidRPr="00EA5F2F">
        <w:rPr>
          <w:b/>
          <w:sz w:val="22"/>
          <w:szCs w:val="22"/>
        </w:rPr>
        <w:t xml:space="preserve">Table 2. </w:t>
      </w:r>
      <w:r w:rsidRPr="00EA5F2F">
        <w:rPr>
          <w:sz w:val="22"/>
          <w:szCs w:val="22"/>
        </w:rPr>
        <w:t xml:space="preserve">Average WTA of Farmers to Be Willing to </w:t>
      </w:r>
      <w:r w:rsidRPr="00EA5F2F">
        <w:rPr>
          <w:sz w:val="22"/>
          <w:szCs w:val="22"/>
          <w:lang w:val="en-ID"/>
        </w:rPr>
        <w:t>Protect</w:t>
      </w:r>
      <w:r w:rsidRPr="00EA5F2F">
        <w:rPr>
          <w:sz w:val="22"/>
          <w:szCs w:val="22"/>
        </w:rPr>
        <w:t xml:space="preserve"> the Sustainability of Agricultural Land in the </w:t>
      </w:r>
      <w:r w:rsidRPr="00EA5F2F">
        <w:rPr>
          <w:sz w:val="22"/>
          <w:szCs w:val="22"/>
          <w:lang w:val="en-ID"/>
        </w:rPr>
        <w:t>Peri-Urban Areas</w:t>
      </w:r>
      <w:r w:rsidRPr="00EA5F2F">
        <w:rPr>
          <w:sz w:val="22"/>
          <w:szCs w:val="22"/>
        </w:rPr>
        <w:t xml:space="preserve"> of Pekalongan City</w:t>
      </w:r>
    </w:p>
    <w:tbl>
      <w:tblPr>
        <w:tblW w:w="5000" w:type="pct"/>
        <w:tblBorders>
          <w:top w:val="single" w:sz="4" w:space="0" w:color="auto"/>
          <w:bottom w:val="single" w:sz="4" w:space="0" w:color="auto"/>
        </w:tblBorders>
        <w:tblLook w:val="04A0" w:firstRow="1" w:lastRow="0" w:firstColumn="1" w:lastColumn="0" w:noHBand="0" w:noVBand="1"/>
      </w:tblPr>
      <w:tblGrid>
        <w:gridCol w:w="3939"/>
        <w:gridCol w:w="2049"/>
        <w:gridCol w:w="2166"/>
      </w:tblGrid>
      <w:tr w:rsidR="00EA5F2F" w:rsidRPr="00EA5F2F" w:rsidTr="00E60569">
        <w:trPr>
          <w:trHeight w:val="300"/>
        </w:trPr>
        <w:tc>
          <w:tcPr>
            <w:tcW w:w="2480" w:type="pct"/>
            <w:tcBorders>
              <w:top w:val="single" w:sz="4" w:space="0" w:color="auto"/>
              <w:bottom w:val="single" w:sz="4" w:space="0" w:color="auto"/>
            </w:tcBorders>
            <w:shd w:val="clear" w:color="auto" w:fill="auto"/>
            <w:noWrap/>
            <w:vAlign w:val="center"/>
            <w:hideMark/>
          </w:tcPr>
          <w:p w:rsidR="00EA5F2F" w:rsidRPr="00EA5F2F" w:rsidRDefault="00EA5F2F" w:rsidP="001841D7">
            <w:pPr>
              <w:rPr>
                <w:color w:val="000000"/>
                <w:sz w:val="20"/>
                <w:szCs w:val="20"/>
                <w:lang w:eastAsia="en-ID"/>
              </w:rPr>
            </w:pPr>
            <w:r w:rsidRPr="00EA5F2F">
              <w:rPr>
                <w:color w:val="000000"/>
                <w:sz w:val="20"/>
                <w:szCs w:val="20"/>
                <w:lang w:eastAsia="en-ID"/>
              </w:rPr>
              <w:t>WTA Information</w:t>
            </w:r>
          </w:p>
        </w:tc>
        <w:tc>
          <w:tcPr>
            <w:tcW w:w="1136" w:type="pct"/>
            <w:tcBorders>
              <w:top w:val="single" w:sz="4" w:space="0" w:color="auto"/>
              <w:bottom w:val="single" w:sz="4" w:space="0" w:color="auto"/>
            </w:tcBorders>
            <w:shd w:val="clear" w:color="auto" w:fill="auto"/>
            <w:noWrap/>
            <w:vAlign w:val="center"/>
            <w:hideMark/>
          </w:tcPr>
          <w:p w:rsidR="00EA5F2F" w:rsidRPr="00EA5F2F" w:rsidRDefault="008B430A" w:rsidP="001841D7">
            <w:pPr>
              <w:jc w:val="right"/>
              <w:rPr>
                <w:color w:val="000000"/>
                <w:sz w:val="20"/>
                <w:szCs w:val="20"/>
                <w:lang w:eastAsia="en-ID"/>
              </w:rPr>
            </w:pPr>
            <w:r>
              <w:rPr>
                <w:color w:val="000000"/>
                <w:sz w:val="20"/>
                <w:szCs w:val="20"/>
                <w:lang w:eastAsia="en-ID"/>
              </w:rPr>
              <w:t>WTA Value (IDR</w:t>
            </w:r>
            <w:r w:rsidR="00EA5F2F" w:rsidRPr="00EA5F2F">
              <w:rPr>
                <w:color w:val="000000"/>
                <w:sz w:val="20"/>
                <w:szCs w:val="20"/>
                <w:lang w:eastAsia="en-ID"/>
              </w:rPr>
              <w:t xml:space="preserve"> / yr)</w:t>
            </w:r>
          </w:p>
        </w:tc>
        <w:tc>
          <w:tcPr>
            <w:tcW w:w="1384" w:type="pct"/>
            <w:tcBorders>
              <w:top w:val="single" w:sz="4" w:space="0" w:color="auto"/>
              <w:bottom w:val="single" w:sz="4" w:space="0" w:color="auto"/>
            </w:tcBorders>
            <w:shd w:val="clear" w:color="auto" w:fill="auto"/>
            <w:noWrap/>
            <w:vAlign w:val="center"/>
            <w:hideMark/>
          </w:tcPr>
          <w:p w:rsidR="00EA5F2F" w:rsidRPr="00EA5F2F" w:rsidRDefault="00EA5F2F" w:rsidP="001841D7">
            <w:pPr>
              <w:jc w:val="right"/>
              <w:rPr>
                <w:color w:val="000000"/>
                <w:sz w:val="20"/>
                <w:szCs w:val="20"/>
                <w:lang w:eastAsia="en-ID"/>
              </w:rPr>
            </w:pPr>
            <w:r w:rsidRPr="00EA5F2F">
              <w:rPr>
                <w:color w:val="000000"/>
                <w:sz w:val="20"/>
                <w:szCs w:val="20"/>
                <w:lang w:eastAsia="en-ID"/>
              </w:rPr>
              <w:t>Percentage of WTA (%)</w:t>
            </w:r>
          </w:p>
        </w:tc>
      </w:tr>
      <w:tr w:rsidR="00EA5F2F" w:rsidRPr="00EA5F2F" w:rsidTr="00E60569">
        <w:trPr>
          <w:trHeight w:val="300"/>
        </w:trPr>
        <w:tc>
          <w:tcPr>
            <w:tcW w:w="2480" w:type="pct"/>
            <w:tcBorders>
              <w:top w:val="single" w:sz="4" w:space="0" w:color="auto"/>
            </w:tcBorders>
            <w:shd w:val="clear" w:color="auto" w:fill="auto"/>
            <w:noWrap/>
            <w:vAlign w:val="center"/>
            <w:hideMark/>
          </w:tcPr>
          <w:p w:rsidR="00EA5F2F" w:rsidRPr="00EA5F2F" w:rsidRDefault="00EA5F2F" w:rsidP="001841D7">
            <w:pPr>
              <w:rPr>
                <w:color w:val="000000"/>
                <w:sz w:val="20"/>
                <w:szCs w:val="20"/>
                <w:lang w:eastAsia="en-ID"/>
              </w:rPr>
            </w:pPr>
            <w:r w:rsidRPr="00EA5F2F">
              <w:rPr>
                <w:i/>
                <w:color w:val="000000"/>
                <w:sz w:val="20"/>
                <w:szCs w:val="20"/>
                <w:lang w:eastAsia="en-ID"/>
              </w:rPr>
              <w:t>Initial Bid</w:t>
            </w:r>
          </w:p>
        </w:tc>
        <w:tc>
          <w:tcPr>
            <w:tcW w:w="1136" w:type="pct"/>
            <w:tcBorders>
              <w:top w:val="single" w:sz="4" w:space="0" w:color="auto"/>
            </w:tcBorders>
            <w:shd w:val="clear" w:color="auto" w:fill="auto"/>
            <w:noWrap/>
            <w:vAlign w:val="center"/>
            <w:hideMark/>
          </w:tcPr>
          <w:p w:rsidR="00EA5F2F" w:rsidRPr="00EA5F2F" w:rsidRDefault="00EA5F2F" w:rsidP="001841D7">
            <w:pPr>
              <w:jc w:val="right"/>
              <w:rPr>
                <w:color w:val="000000"/>
                <w:sz w:val="20"/>
                <w:szCs w:val="20"/>
                <w:lang w:eastAsia="en-ID"/>
              </w:rPr>
            </w:pPr>
            <w:r w:rsidRPr="00EA5F2F">
              <w:rPr>
                <w:color w:val="000000"/>
                <w:sz w:val="20"/>
                <w:szCs w:val="20"/>
                <w:lang w:eastAsia="en-ID"/>
              </w:rPr>
              <w:t>8,012,931.82</w:t>
            </w:r>
          </w:p>
        </w:tc>
        <w:tc>
          <w:tcPr>
            <w:tcW w:w="1384" w:type="pct"/>
            <w:tcBorders>
              <w:top w:val="single" w:sz="4" w:space="0" w:color="auto"/>
            </w:tcBorders>
            <w:shd w:val="clear" w:color="auto" w:fill="auto"/>
            <w:noWrap/>
            <w:vAlign w:val="center"/>
            <w:hideMark/>
          </w:tcPr>
          <w:p w:rsidR="00EA5F2F" w:rsidRPr="00EA5F2F" w:rsidRDefault="00EA5F2F" w:rsidP="001841D7">
            <w:pPr>
              <w:jc w:val="right"/>
              <w:rPr>
                <w:color w:val="000000"/>
                <w:sz w:val="20"/>
                <w:szCs w:val="20"/>
                <w:lang w:eastAsia="en-ID"/>
              </w:rPr>
            </w:pPr>
            <w:r w:rsidRPr="00EA5F2F">
              <w:rPr>
                <w:color w:val="000000"/>
                <w:sz w:val="20"/>
                <w:szCs w:val="20"/>
                <w:lang w:eastAsia="en-ID"/>
              </w:rPr>
              <w:t>45.45</w:t>
            </w:r>
          </w:p>
        </w:tc>
      </w:tr>
      <w:tr w:rsidR="00EA5F2F" w:rsidRPr="00EA5F2F" w:rsidTr="00E60569">
        <w:trPr>
          <w:trHeight w:val="300"/>
        </w:trPr>
        <w:tc>
          <w:tcPr>
            <w:tcW w:w="2480" w:type="pct"/>
            <w:shd w:val="clear" w:color="auto" w:fill="auto"/>
            <w:noWrap/>
            <w:vAlign w:val="center"/>
            <w:hideMark/>
          </w:tcPr>
          <w:p w:rsidR="00EA5F2F" w:rsidRPr="00EA5F2F" w:rsidRDefault="00EA5F2F" w:rsidP="001841D7">
            <w:pPr>
              <w:rPr>
                <w:color w:val="000000"/>
                <w:sz w:val="20"/>
                <w:szCs w:val="20"/>
                <w:lang w:eastAsia="en-ID"/>
              </w:rPr>
            </w:pPr>
            <w:r w:rsidRPr="00EA5F2F">
              <w:rPr>
                <w:i/>
                <w:color w:val="000000"/>
                <w:sz w:val="20"/>
                <w:szCs w:val="20"/>
                <w:lang w:eastAsia="en-ID"/>
              </w:rPr>
              <w:t>Final Bid</w:t>
            </w:r>
          </w:p>
        </w:tc>
        <w:tc>
          <w:tcPr>
            <w:tcW w:w="1136" w:type="pct"/>
            <w:shd w:val="clear" w:color="auto" w:fill="auto"/>
            <w:noWrap/>
            <w:vAlign w:val="center"/>
            <w:hideMark/>
          </w:tcPr>
          <w:p w:rsidR="00EA5F2F" w:rsidRPr="00EA5F2F" w:rsidRDefault="00EA5F2F" w:rsidP="001841D7">
            <w:pPr>
              <w:jc w:val="right"/>
              <w:rPr>
                <w:color w:val="000000"/>
                <w:sz w:val="20"/>
                <w:szCs w:val="20"/>
                <w:lang w:eastAsia="en-ID"/>
              </w:rPr>
            </w:pPr>
            <w:r w:rsidRPr="00EA5F2F">
              <w:rPr>
                <w:color w:val="000000"/>
                <w:sz w:val="20"/>
                <w:szCs w:val="20"/>
                <w:lang w:eastAsia="en-ID"/>
              </w:rPr>
              <w:t>7,217,827.27</w:t>
            </w:r>
          </w:p>
        </w:tc>
        <w:tc>
          <w:tcPr>
            <w:tcW w:w="1384" w:type="pct"/>
            <w:shd w:val="clear" w:color="auto" w:fill="auto"/>
            <w:noWrap/>
            <w:vAlign w:val="center"/>
            <w:hideMark/>
          </w:tcPr>
          <w:p w:rsidR="00EA5F2F" w:rsidRPr="00EA5F2F" w:rsidRDefault="00EA5F2F" w:rsidP="001841D7">
            <w:pPr>
              <w:jc w:val="right"/>
              <w:rPr>
                <w:color w:val="000000"/>
                <w:sz w:val="20"/>
                <w:szCs w:val="20"/>
                <w:lang w:eastAsia="en-ID"/>
              </w:rPr>
            </w:pPr>
            <w:r w:rsidRPr="00EA5F2F">
              <w:rPr>
                <w:color w:val="000000"/>
                <w:sz w:val="20"/>
                <w:szCs w:val="20"/>
                <w:lang w:eastAsia="en-ID"/>
              </w:rPr>
              <w:t>41.45</w:t>
            </w:r>
          </w:p>
        </w:tc>
      </w:tr>
    </w:tbl>
    <w:p w:rsidR="00BE7692" w:rsidRPr="00EA5F2F" w:rsidRDefault="00EA5F2F" w:rsidP="001841D7">
      <w:pPr>
        <w:widowControl w:val="0"/>
        <w:autoSpaceDE w:val="0"/>
        <w:autoSpaceDN w:val="0"/>
        <w:adjustRightInd w:val="0"/>
        <w:spacing w:line="276" w:lineRule="auto"/>
        <w:ind w:right="-32"/>
        <w:jc w:val="both"/>
        <w:rPr>
          <w:color w:val="222222"/>
          <w:sz w:val="22"/>
          <w:szCs w:val="22"/>
          <w:shd w:val="clear" w:color="auto" w:fill="FFFFFF"/>
          <w:lang w:val="en-ID"/>
        </w:rPr>
      </w:pPr>
      <w:r w:rsidRPr="00EA5F2F">
        <w:rPr>
          <w:sz w:val="22"/>
          <w:szCs w:val="22"/>
        </w:rPr>
        <w:t xml:space="preserve">Source: </w:t>
      </w:r>
      <w:r w:rsidR="000926EE">
        <w:rPr>
          <w:sz w:val="22"/>
          <w:szCs w:val="22"/>
        </w:rPr>
        <w:t>Analysis of Primary Data (</w:t>
      </w:r>
      <w:r w:rsidRPr="00EA5F2F">
        <w:rPr>
          <w:sz w:val="22"/>
          <w:szCs w:val="22"/>
        </w:rPr>
        <w:t>2019</w:t>
      </w:r>
      <w:r w:rsidR="000926EE">
        <w:rPr>
          <w:sz w:val="22"/>
          <w:szCs w:val="22"/>
        </w:rPr>
        <w:t>)</w:t>
      </w:r>
    </w:p>
    <w:p w:rsidR="00EA5F2F" w:rsidRPr="00FD6193" w:rsidRDefault="00EA5F2F" w:rsidP="001841D7">
      <w:pPr>
        <w:widowControl w:val="0"/>
        <w:autoSpaceDE w:val="0"/>
        <w:autoSpaceDN w:val="0"/>
        <w:adjustRightInd w:val="0"/>
        <w:spacing w:line="276" w:lineRule="auto"/>
        <w:ind w:right="-32"/>
        <w:jc w:val="both"/>
        <w:rPr>
          <w:color w:val="222222"/>
          <w:sz w:val="22"/>
          <w:szCs w:val="22"/>
          <w:shd w:val="clear" w:color="auto" w:fill="FFFFFF"/>
          <w:lang w:val="en-ID"/>
        </w:rPr>
      </w:pPr>
    </w:p>
    <w:p w:rsidR="004575E7" w:rsidRDefault="004575E7"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Based on table 2, it can be seen that in the initial bid, farmers in the peri-urban areas of Pekalongan City were willing to receiv</w:t>
      </w:r>
      <w:r w:rsidR="008B430A">
        <w:rPr>
          <w:color w:val="222222"/>
          <w:sz w:val="22"/>
          <w:szCs w:val="22"/>
          <w:shd w:val="clear" w:color="auto" w:fill="FFFFFF"/>
          <w:lang w:val="en-ID"/>
        </w:rPr>
        <w:t>e an average compensation of IDR</w:t>
      </w:r>
      <w:r w:rsidRPr="00FD6193">
        <w:rPr>
          <w:color w:val="222222"/>
          <w:sz w:val="22"/>
          <w:szCs w:val="22"/>
          <w:shd w:val="clear" w:color="auto" w:fill="FFFFFF"/>
          <w:lang w:val="en-ID"/>
        </w:rPr>
        <w:t xml:space="preserve"> 8,012,931.82 / year. The value of the initial offer is equivalent to 45.45% of the farmer's income from the farming activities per year. The optimum WTA value reflected in the WTA value in the final bid of the bidding process can only decrease by four percent from the WTA value at the initial bid. Table 2 shows that the optimum WTA value that farmers are willing to accept to protect the sustainability of agricultural land in the peri-urban areas of Pek</w:t>
      </w:r>
      <w:r w:rsidR="008B430A">
        <w:rPr>
          <w:color w:val="222222"/>
          <w:sz w:val="22"/>
          <w:szCs w:val="22"/>
          <w:shd w:val="clear" w:color="auto" w:fill="FFFFFF"/>
          <w:lang w:val="en-ID"/>
        </w:rPr>
        <w:t xml:space="preserve">alongan City is an average of IDR </w:t>
      </w:r>
      <w:r w:rsidRPr="00FD6193">
        <w:rPr>
          <w:color w:val="222222"/>
          <w:sz w:val="22"/>
          <w:szCs w:val="22"/>
          <w:shd w:val="clear" w:color="auto" w:fill="FFFFFF"/>
          <w:lang w:val="en-ID"/>
        </w:rPr>
        <w:t>7,217,827.27 / year or equivalent to 41.45 percent of farmers’ income in the peri-urban per year.</w:t>
      </w:r>
    </w:p>
    <w:p w:rsidR="00EA5F2F" w:rsidRPr="00FD6193" w:rsidRDefault="00EA5F2F"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4575E7" w:rsidRPr="00EA5F2F" w:rsidRDefault="004575E7" w:rsidP="001841D7">
      <w:pPr>
        <w:widowControl w:val="0"/>
        <w:autoSpaceDE w:val="0"/>
        <w:autoSpaceDN w:val="0"/>
        <w:adjustRightInd w:val="0"/>
        <w:spacing w:line="276" w:lineRule="auto"/>
        <w:ind w:right="-32"/>
        <w:jc w:val="both"/>
        <w:rPr>
          <w:b/>
          <w:color w:val="222222"/>
          <w:sz w:val="22"/>
          <w:szCs w:val="22"/>
          <w:shd w:val="clear" w:color="auto" w:fill="FFFFFF"/>
          <w:lang w:val="en-ID"/>
        </w:rPr>
      </w:pPr>
      <w:r w:rsidRPr="00EA5F2F">
        <w:rPr>
          <w:b/>
          <w:color w:val="222222"/>
          <w:sz w:val="22"/>
          <w:szCs w:val="22"/>
          <w:shd w:val="clear" w:color="auto" w:fill="FFFFFF"/>
          <w:lang w:val="en-ID"/>
        </w:rPr>
        <w:t>Factors Affecting Farmers' Decisions to Accept or Reject Compensation (WTA)</w:t>
      </w:r>
    </w:p>
    <w:p w:rsidR="004575E7" w:rsidRDefault="004575E7"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In this study, the factors affecting the farmers' decision to accept or reject compensation (WTA) and the factors affecting the WTA value of farmers in the peri-urban areas of Pekalongan City were analyzed</w:t>
      </w:r>
      <w:r w:rsidR="00AF6265" w:rsidRPr="00FD6193">
        <w:rPr>
          <w:color w:val="222222"/>
          <w:sz w:val="22"/>
          <w:szCs w:val="22"/>
          <w:shd w:val="clear" w:color="auto" w:fill="FFFFFF"/>
          <w:lang w:val="en-ID"/>
        </w:rPr>
        <w:t xml:space="preserve"> by</w:t>
      </w:r>
      <w:r w:rsidRPr="00FD6193">
        <w:rPr>
          <w:color w:val="222222"/>
          <w:sz w:val="22"/>
          <w:szCs w:val="22"/>
          <w:shd w:val="clear" w:color="auto" w:fill="FFFFFF"/>
          <w:lang w:val="en-ID"/>
        </w:rPr>
        <w:t xml:space="preserve"> using Heckman's two-stage regression model. This method is used because the sample used has the potential for sample selection </w:t>
      </w:r>
      <w:r w:rsidRPr="00FD6193">
        <w:rPr>
          <w:color w:val="222222"/>
          <w:sz w:val="22"/>
          <w:szCs w:val="22"/>
          <w:shd w:val="clear" w:color="auto" w:fill="FFFFFF"/>
          <w:lang w:val="en-ID"/>
        </w:rPr>
        <w:lastRenderedPageBreak/>
        <w:t xml:space="preserve">bias, so to know and </w:t>
      </w:r>
      <w:r w:rsidR="00C259E4" w:rsidRPr="00FD6193">
        <w:rPr>
          <w:color w:val="222222"/>
          <w:sz w:val="22"/>
          <w:szCs w:val="22"/>
          <w:shd w:val="clear" w:color="auto" w:fill="FFFFFF"/>
          <w:lang w:val="en-ID"/>
        </w:rPr>
        <w:t xml:space="preserve">to </w:t>
      </w:r>
      <w:r w:rsidRPr="00FD6193">
        <w:rPr>
          <w:color w:val="222222"/>
          <w:sz w:val="22"/>
          <w:szCs w:val="22"/>
          <w:shd w:val="clear" w:color="auto" w:fill="FFFFFF"/>
          <w:lang w:val="en-ID"/>
        </w:rPr>
        <w:t xml:space="preserve">avoid bias in the model used, the Heckman two-stage regression model can be used well </w:t>
      </w:r>
      <w:r w:rsidR="009C698B">
        <w:rPr>
          <w:color w:val="222222"/>
          <w:sz w:val="22"/>
          <w:szCs w:val="22"/>
          <w:shd w:val="clear" w:color="auto" w:fill="FFFFFF"/>
          <w:lang w:val="en-ID"/>
        </w:rPr>
        <w:fldChar w:fldCharType="begin" w:fldLock="1"/>
      </w:r>
      <w:r w:rsidR="000926EE">
        <w:rPr>
          <w:color w:val="222222"/>
          <w:sz w:val="22"/>
          <w:szCs w:val="22"/>
          <w:shd w:val="clear" w:color="auto" w:fill="FFFFFF"/>
          <w:lang w:val="en-ID"/>
        </w:rPr>
        <w:instrText>ADDIN CSL_CITATION {"citationItems":[{"id":"ITEM-1","itemData":{"DOI":"10.1080/14728028.2015.1133330","ISSN":"1472-8028","author":[{"dropping-particle":"","family":"Amare","given":"Dagninet","non-dropping-particle":"","parse-names":false,"suffix":""},{"dropping-particle":"","family":"Mekuria","given":"Wolde","non-dropping-particle":"","parse-names":false,"suffix":""},{"dropping-particle":"","family":"T/wold","given":"Tilaye","non-dropping-particle":"","parse-names":false,"suffix":""},{"dropping-particle":"","family":"Belay","given":"Beyene","non-dropping-particle":"","parse-names":false,"suffix":""},{"dropping-particle":"","family":"Teshome","given":"Akalu","non-dropping-particle":"","parse-names":false,"suffix":""},{"dropping-particle":"","family":"Yitaferu","given":"Birru","non-dropping-particle":"","parse-names":false,"suffix":""},{"dropping-particle":"","family":"Tessema","given":"Teshome","non-dropping-particle":"","parse-names":false,"suffix":""},{"dropping-particle":"","family":"Tegegn","given":"Berhan","non-dropping-particle":"","parse-names":false,"suffix":""}],"container-title":"Forests, Trees and Livelihoods","id":"ITEM-1","issue":"3","issued":{"date-parts":[["2016"]]},"page":"173-186","publisher":"Taylor &amp; Francis","title":"Perception of local community and the willingness to pay to restore church forests: the case of Dera district, northwestern Ethiopia","type":"article-journal","volume":"25"},"uris":["http://www.mendeley.com/documents/?uuid=24a5aa3c-1f6f-4b15-a0c3-0b08572b95ca"]},{"id":"ITEM-2","itemData":{"DOI":"10.1016/j.cliser.2017.06.007","ISSN":"24058807","abstract":"This study aims to assess the economic benefits of seasonal climate forecasts in West Africa based on a random survey of 354 maize farmers and to use the contingent valuation method. Results indicate that farmers need accurate seasonal climate forecasts between 1 and 2 months before the onset of rains. The most desirable dissemination channels are radio, local elders, local farmer meetings and extension agents. The most likely used farming strategies are change of: planting date, crop acreage, crop variety, and production intensification. The vast majority of farmers are willing to pay for seasonal climate forecasts, and the average annual economic value of seasonal climate forecasts are about USD 5492 for the 354 sampled farmers and USD 66.5 million dollar at the national level. Furthermore, benefits of seasonal climate forecasts are likely to increase with better access to farmer based organisation, to extension services, to financial services, to modern communication tools, intensity of use of fertilizer and with larger farm sizes. Seasonal climate forecasts are a source of improvement of farmers’ performance and the service should be integrated in extension programmes and in national agricultural development agenda.","author":[{"dropping-particle":"","family":"Amegnaglo","given":"Cocou Jaurès","non-dropping-particle":"","parse-names":false,"suffix":""},{"dropping-particle":"","family":"Anaman","given":"Kwabena Asomanin","non-dropping-particle":"","parse-names":false,"suffix":""},{"dropping-particle":"","family":"Mensah-Bonsu","given":"Akwasi","non-dropping-particle":"","parse-names":false,"suffix":""},{"dropping-particle":"","family":"Onumah","given":"Edwards Ebo","non-dropping-particle":"","parse-names":false,"suffix":""},{"dropping-particle":"","family":"Amoussouga Gero","given":"Fulbert","non-dropping-particle":"","parse-names":false,"suffix":""}],"container-title":"Climate Services","id":"ITEM-2","issue":"2017","issued":{"date-parts":[["2017"]]},"page":"1-11","title":"Contingent valuation study of the benefits of seasonal climate forecasts for maize farmers in the Republic of Benin, West Africa","type":"article-journal","volume":"6"},"uris":["http://www.mendeley.com/documents/?uuid=2416d8bd-70c4-4fe7-b5ec-bd8e5479ff39"]}],"mendeley":{"formattedCitation":"(Amare et al., 2016; Amegnaglo et al., 2017)","plainTextFormattedCitation":"(Amare et al., 2016; Amegnaglo et al., 2017)","previouslyFormattedCitation":"(Amare et al., 2016; Amegnaglo et al., 2017)"},"properties":{"noteIndex":0},"schema":"https://github.com/citation-style-language/schema/raw/master/csl-citation.json"}</w:instrText>
      </w:r>
      <w:r w:rsidR="009C698B">
        <w:rPr>
          <w:color w:val="222222"/>
          <w:sz w:val="22"/>
          <w:szCs w:val="22"/>
          <w:shd w:val="clear" w:color="auto" w:fill="FFFFFF"/>
          <w:lang w:val="en-ID"/>
        </w:rPr>
        <w:fldChar w:fldCharType="separate"/>
      </w:r>
      <w:r w:rsidR="009C698B" w:rsidRPr="009C698B">
        <w:rPr>
          <w:noProof/>
          <w:color w:val="222222"/>
          <w:sz w:val="22"/>
          <w:szCs w:val="22"/>
          <w:shd w:val="clear" w:color="auto" w:fill="FFFFFF"/>
          <w:lang w:val="en-ID"/>
        </w:rPr>
        <w:t xml:space="preserve">(Amare </w:t>
      </w:r>
      <w:r w:rsidR="009C698B" w:rsidRPr="009C698B">
        <w:rPr>
          <w:i/>
          <w:noProof/>
          <w:color w:val="222222"/>
          <w:sz w:val="22"/>
          <w:szCs w:val="22"/>
          <w:shd w:val="clear" w:color="auto" w:fill="FFFFFF"/>
          <w:lang w:val="en-ID"/>
        </w:rPr>
        <w:t>et al</w:t>
      </w:r>
      <w:r w:rsidR="009C698B" w:rsidRPr="009C698B">
        <w:rPr>
          <w:noProof/>
          <w:color w:val="222222"/>
          <w:sz w:val="22"/>
          <w:szCs w:val="22"/>
          <w:shd w:val="clear" w:color="auto" w:fill="FFFFFF"/>
          <w:lang w:val="en-ID"/>
        </w:rPr>
        <w:t xml:space="preserve">., 2016; Amegnaglo </w:t>
      </w:r>
      <w:r w:rsidR="009C698B" w:rsidRPr="009C698B">
        <w:rPr>
          <w:i/>
          <w:noProof/>
          <w:color w:val="222222"/>
          <w:sz w:val="22"/>
          <w:szCs w:val="22"/>
          <w:shd w:val="clear" w:color="auto" w:fill="FFFFFF"/>
          <w:lang w:val="en-ID"/>
        </w:rPr>
        <w:t>et al.</w:t>
      </w:r>
      <w:r w:rsidR="009C698B" w:rsidRPr="009C698B">
        <w:rPr>
          <w:noProof/>
          <w:color w:val="222222"/>
          <w:sz w:val="22"/>
          <w:szCs w:val="22"/>
          <w:shd w:val="clear" w:color="auto" w:fill="FFFFFF"/>
          <w:lang w:val="en-ID"/>
        </w:rPr>
        <w:t>, 2017)</w:t>
      </w:r>
      <w:r w:rsidR="009C698B">
        <w:rPr>
          <w:color w:val="222222"/>
          <w:sz w:val="22"/>
          <w:szCs w:val="22"/>
          <w:shd w:val="clear" w:color="auto" w:fill="FFFFFF"/>
          <w:lang w:val="en-ID"/>
        </w:rPr>
        <w:fldChar w:fldCharType="end"/>
      </w:r>
      <w:r w:rsidRPr="00FD6193">
        <w:rPr>
          <w:color w:val="222222"/>
          <w:sz w:val="22"/>
          <w:szCs w:val="22"/>
          <w:shd w:val="clear" w:color="auto" w:fill="FFFFFF"/>
          <w:lang w:val="en-ID"/>
        </w:rPr>
        <w:t>. This method sta</w:t>
      </w:r>
      <w:r w:rsidR="00727938" w:rsidRPr="00FD6193">
        <w:rPr>
          <w:color w:val="222222"/>
          <w:sz w:val="22"/>
          <w:szCs w:val="22"/>
          <w:shd w:val="clear" w:color="auto" w:fill="FFFFFF"/>
          <w:lang w:val="en-ID"/>
        </w:rPr>
        <w:t>rts from the first stage by</w:t>
      </w:r>
      <w:r w:rsidRPr="00FD6193">
        <w:rPr>
          <w:color w:val="222222"/>
          <w:sz w:val="22"/>
          <w:szCs w:val="22"/>
          <w:shd w:val="clear" w:color="auto" w:fill="FFFFFF"/>
          <w:lang w:val="en-ID"/>
        </w:rPr>
        <w:t xml:space="preserve"> using a probit regression model. The results of the analysis of the probit regression model which is the first stage of Heckman's two-stage model can be seen in table 3.</w:t>
      </w:r>
    </w:p>
    <w:p w:rsidR="000926EE" w:rsidRPr="00FD6193" w:rsidRDefault="000926EE"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0F27CA" w:rsidRDefault="000F27CA" w:rsidP="001841D7">
      <w:pPr>
        <w:spacing w:line="276" w:lineRule="auto"/>
        <w:jc w:val="both"/>
        <w:rPr>
          <w:b/>
          <w:sz w:val="22"/>
          <w:szCs w:val="22"/>
        </w:rPr>
        <w:sectPr w:rsidR="000F27CA" w:rsidSect="001841D7">
          <w:type w:val="continuous"/>
          <w:pgSz w:w="11907" w:h="16840" w:code="9"/>
          <w:pgMar w:top="2268" w:right="1701" w:bottom="1701" w:left="2268" w:header="720" w:footer="720" w:gutter="0"/>
          <w:cols w:space="562"/>
          <w:docGrid w:linePitch="360"/>
        </w:sectPr>
      </w:pPr>
    </w:p>
    <w:p w:rsidR="000F27CA" w:rsidRDefault="000F27CA" w:rsidP="001841D7">
      <w:pPr>
        <w:spacing w:line="276" w:lineRule="auto"/>
        <w:jc w:val="both"/>
        <w:rPr>
          <w:b/>
          <w:sz w:val="22"/>
          <w:szCs w:val="22"/>
        </w:rPr>
      </w:pPr>
    </w:p>
    <w:p w:rsidR="000926EE" w:rsidRPr="000926EE" w:rsidRDefault="000926EE" w:rsidP="001841D7">
      <w:pPr>
        <w:spacing w:line="276" w:lineRule="auto"/>
        <w:jc w:val="both"/>
        <w:rPr>
          <w:b/>
          <w:sz w:val="22"/>
          <w:szCs w:val="22"/>
        </w:rPr>
      </w:pPr>
      <w:r w:rsidRPr="000926EE">
        <w:rPr>
          <w:b/>
          <w:sz w:val="22"/>
          <w:szCs w:val="22"/>
        </w:rPr>
        <w:t xml:space="preserve">Table 3. </w:t>
      </w:r>
      <w:r w:rsidRPr="000926EE">
        <w:rPr>
          <w:sz w:val="22"/>
          <w:szCs w:val="22"/>
        </w:rPr>
        <w:t>Factors Affecting Farmers' Decisions to Accept or R</w:t>
      </w:r>
      <w:r w:rsidRPr="000926EE">
        <w:rPr>
          <w:sz w:val="22"/>
          <w:szCs w:val="22"/>
          <w:lang w:val="en-ID"/>
        </w:rPr>
        <w:t>eject</w:t>
      </w:r>
      <w:r w:rsidRPr="000926EE">
        <w:rPr>
          <w:sz w:val="22"/>
          <w:szCs w:val="22"/>
        </w:rPr>
        <w:t xml:space="preserve"> Compensation (WTA)</w:t>
      </w:r>
    </w:p>
    <w:tbl>
      <w:tblPr>
        <w:tblW w:w="5000" w:type="pct"/>
        <w:tblBorders>
          <w:top w:val="single" w:sz="4" w:space="0" w:color="auto"/>
          <w:bottom w:val="single" w:sz="4" w:space="0" w:color="auto"/>
        </w:tblBorders>
        <w:tblLook w:val="04A0" w:firstRow="1" w:lastRow="0" w:firstColumn="1" w:lastColumn="0" w:noHBand="0" w:noVBand="1"/>
      </w:tblPr>
      <w:tblGrid>
        <w:gridCol w:w="2680"/>
        <w:gridCol w:w="1523"/>
        <w:gridCol w:w="1220"/>
        <w:gridCol w:w="1133"/>
        <w:gridCol w:w="1598"/>
      </w:tblGrid>
      <w:tr w:rsidR="000926EE" w:rsidRPr="000926EE" w:rsidTr="00E60569">
        <w:trPr>
          <w:trHeight w:val="300"/>
        </w:trPr>
        <w:tc>
          <w:tcPr>
            <w:tcW w:w="1643" w:type="pct"/>
            <w:tcBorders>
              <w:top w:val="single" w:sz="4" w:space="0" w:color="auto"/>
              <w:bottom w:val="single" w:sz="4" w:space="0" w:color="auto"/>
            </w:tcBorders>
            <w:shd w:val="clear" w:color="auto" w:fill="auto"/>
            <w:noWrap/>
            <w:vAlign w:val="center"/>
            <w:hideMark/>
          </w:tcPr>
          <w:p w:rsidR="000926EE" w:rsidRPr="000926EE" w:rsidRDefault="000926EE" w:rsidP="001841D7">
            <w:pPr>
              <w:rPr>
                <w:color w:val="000000"/>
                <w:sz w:val="20"/>
                <w:szCs w:val="20"/>
                <w:lang w:val="en-ID" w:eastAsia="en-ID"/>
              </w:rPr>
            </w:pPr>
            <w:r w:rsidRPr="000926EE">
              <w:rPr>
                <w:color w:val="000000"/>
                <w:sz w:val="20"/>
                <w:szCs w:val="20"/>
                <w:lang w:eastAsia="en-ID"/>
              </w:rPr>
              <w:t>Independen</w:t>
            </w:r>
            <w:r w:rsidRPr="000926EE">
              <w:rPr>
                <w:color w:val="000000"/>
                <w:sz w:val="20"/>
                <w:szCs w:val="20"/>
                <w:lang w:val="en-ID" w:eastAsia="en-ID"/>
              </w:rPr>
              <w:t>t</w:t>
            </w:r>
          </w:p>
          <w:p w:rsidR="000926EE" w:rsidRPr="000926EE" w:rsidRDefault="000926EE" w:rsidP="001841D7">
            <w:pPr>
              <w:rPr>
                <w:color w:val="000000"/>
                <w:sz w:val="20"/>
                <w:szCs w:val="20"/>
                <w:lang w:val="en-ID" w:eastAsia="en-ID"/>
              </w:rPr>
            </w:pPr>
            <w:r w:rsidRPr="000926EE">
              <w:rPr>
                <w:color w:val="000000"/>
                <w:sz w:val="20"/>
                <w:szCs w:val="20"/>
                <w:lang w:eastAsia="en-ID"/>
              </w:rPr>
              <w:t>Variables</w:t>
            </w:r>
          </w:p>
        </w:tc>
        <w:tc>
          <w:tcPr>
            <w:tcW w:w="934" w:type="pct"/>
            <w:tcBorders>
              <w:top w:val="single" w:sz="4" w:space="0" w:color="auto"/>
              <w:bottom w:val="single" w:sz="4" w:space="0" w:color="auto"/>
            </w:tcBorders>
            <w:shd w:val="clear" w:color="auto" w:fill="auto"/>
            <w:noWrap/>
            <w:vAlign w:val="center"/>
            <w:hideMark/>
          </w:tcPr>
          <w:p w:rsidR="000926EE" w:rsidRPr="000926EE" w:rsidRDefault="000926EE" w:rsidP="001841D7">
            <w:pPr>
              <w:jc w:val="center"/>
              <w:rPr>
                <w:color w:val="000000"/>
                <w:sz w:val="20"/>
                <w:szCs w:val="20"/>
                <w:lang w:val="en-ID" w:eastAsia="en-ID"/>
              </w:rPr>
            </w:pPr>
            <w:r w:rsidRPr="000926EE">
              <w:rPr>
                <w:color w:val="000000"/>
                <w:sz w:val="20"/>
                <w:szCs w:val="20"/>
                <w:lang w:val="en-ID" w:eastAsia="en-ID"/>
              </w:rPr>
              <w:t>Expected Sign</w:t>
            </w:r>
          </w:p>
        </w:tc>
        <w:tc>
          <w:tcPr>
            <w:tcW w:w="748" w:type="pct"/>
            <w:tcBorders>
              <w:top w:val="single" w:sz="4" w:space="0" w:color="auto"/>
              <w:bottom w:val="single" w:sz="4" w:space="0" w:color="auto"/>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Coefficient</w:t>
            </w:r>
          </w:p>
        </w:tc>
        <w:tc>
          <w:tcPr>
            <w:tcW w:w="695" w:type="pct"/>
            <w:tcBorders>
              <w:top w:val="single" w:sz="4" w:space="0" w:color="auto"/>
              <w:bottom w:val="single" w:sz="4" w:space="0" w:color="auto"/>
            </w:tcBorders>
            <w:shd w:val="clear" w:color="auto" w:fill="auto"/>
            <w:noWrap/>
            <w:vAlign w:val="center"/>
            <w:hideMark/>
          </w:tcPr>
          <w:p w:rsidR="000926EE" w:rsidRPr="000926EE" w:rsidRDefault="000926EE" w:rsidP="001841D7">
            <w:pPr>
              <w:jc w:val="right"/>
              <w:rPr>
                <w:color w:val="000000"/>
                <w:sz w:val="20"/>
                <w:szCs w:val="20"/>
                <w:lang w:val="en-ID" w:eastAsia="en-ID"/>
              </w:rPr>
            </w:pPr>
            <w:r w:rsidRPr="000926EE">
              <w:rPr>
                <w:color w:val="000000"/>
                <w:sz w:val="20"/>
                <w:szCs w:val="20"/>
                <w:lang w:val="en-ID" w:eastAsia="en-ID"/>
              </w:rPr>
              <w:t>Z statistic</w:t>
            </w:r>
          </w:p>
        </w:tc>
        <w:tc>
          <w:tcPr>
            <w:tcW w:w="980" w:type="pct"/>
            <w:tcBorders>
              <w:top w:val="single" w:sz="4" w:space="0" w:color="auto"/>
              <w:bottom w:val="single" w:sz="4" w:space="0" w:color="auto"/>
            </w:tcBorders>
            <w:shd w:val="clear" w:color="auto" w:fill="auto"/>
            <w:noWrap/>
            <w:vAlign w:val="center"/>
            <w:hideMark/>
          </w:tcPr>
          <w:p w:rsidR="000926EE" w:rsidRPr="000926EE" w:rsidRDefault="000926EE" w:rsidP="001841D7">
            <w:pPr>
              <w:jc w:val="right"/>
              <w:rPr>
                <w:color w:val="000000"/>
                <w:sz w:val="20"/>
                <w:szCs w:val="20"/>
                <w:lang w:val="en-ID" w:eastAsia="en-ID"/>
              </w:rPr>
            </w:pPr>
            <w:r w:rsidRPr="000926EE">
              <w:rPr>
                <w:color w:val="000000"/>
                <w:sz w:val="20"/>
                <w:szCs w:val="20"/>
                <w:lang w:val="en-ID" w:eastAsia="en-ID"/>
              </w:rPr>
              <w:t>Prob. Z statistic</w:t>
            </w:r>
          </w:p>
        </w:tc>
      </w:tr>
      <w:tr w:rsidR="000926EE" w:rsidRPr="000926EE" w:rsidTr="00E60569">
        <w:trPr>
          <w:trHeight w:val="50"/>
        </w:trPr>
        <w:tc>
          <w:tcPr>
            <w:tcW w:w="1643" w:type="pct"/>
            <w:tcBorders>
              <w:top w:val="single" w:sz="4" w:space="0" w:color="auto"/>
            </w:tcBorders>
            <w:shd w:val="clear" w:color="auto" w:fill="auto"/>
            <w:noWrap/>
            <w:vAlign w:val="center"/>
            <w:hideMark/>
          </w:tcPr>
          <w:p w:rsidR="000926EE" w:rsidRPr="000926EE" w:rsidRDefault="000926EE" w:rsidP="001841D7">
            <w:pPr>
              <w:rPr>
                <w:color w:val="000000"/>
                <w:sz w:val="20"/>
                <w:szCs w:val="20"/>
                <w:lang w:val="en-ID" w:eastAsia="en-ID"/>
              </w:rPr>
            </w:pPr>
            <w:r w:rsidRPr="000926EE">
              <w:rPr>
                <w:color w:val="000000"/>
                <w:sz w:val="20"/>
                <w:szCs w:val="20"/>
                <w:lang w:val="en-ID" w:eastAsia="en-ID"/>
              </w:rPr>
              <w:t>Farm income</w:t>
            </w:r>
          </w:p>
        </w:tc>
        <w:tc>
          <w:tcPr>
            <w:tcW w:w="934" w:type="pct"/>
            <w:tcBorders>
              <w:top w:val="single" w:sz="4" w:space="0" w:color="auto"/>
            </w:tcBorders>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tcBorders>
              <w:top w:val="single" w:sz="4" w:space="0" w:color="auto"/>
            </w:tcBorders>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6.02E-09</w:t>
            </w:r>
            <w:r w:rsidRPr="000926EE">
              <w:rPr>
                <w:color w:val="000000"/>
                <w:sz w:val="20"/>
                <w:szCs w:val="20"/>
                <w:vertAlign w:val="superscript"/>
                <w:lang w:eastAsia="en-ID"/>
              </w:rPr>
              <w:t>ns</w:t>
            </w:r>
          </w:p>
        </w:tc>
        <w:tc>
          <w:tcPr>
            <w:tcW w:w="695" w:type="pct"/>
            <w:tcBorders>
              <w:top w:val="single" w:sz="4" w:space="0" w:color="auto"/>
            </w:tcBorders>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0.4928</w:t>
            </w:r>
          </w:p>
        </w:tc>
        <w:tc>
          <w:tcPr>
            <w:tcW w:w="980" w:type="pct"/>
            <w:tcBorders>
              <w:top w:val="single" w:sz="4" w:space="0" w:color="auto"/>
            </w:tcBorders>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0.6222</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val="en-ID" w:eastAsia="en-ID"/>
              </w:rPr>
            </w:pPr>
            <w:r w:rsidRPr="000926EE">
              <w:rPr>
                <w:color w:val="000000"/>
                <w:sz w:val="20"/>
                <w:szCs w:val="20"/>
                <w:lang w:val="en-ID" w:eastAsia="en-ID"/>
              </w:rPr>
              <w:t>Non-farm income</w:t>
            </w:r>
          </w:p>
        </w:tc>
        <w:tc>
          <w:tcPr>
            <w:tcW w:w="934" w:type="pct"/>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-1.24E-08</w:t>
            </w:r>
            <w:r w:rsidRPr="000926EE">
              <w:rPr>
                <w:color w:val="000000"/>
                <w:sz w:val="20"/>
                <w:szCs w:val="20"/>
                <w:vertAlign w:val="superscript"/>
                <w:lang w:eastAsia="en-ID"/>
              </w:rPr>
              <w:t>ns</w:t>
            </w:r>
          </w:p>
        </w:tc>
        <w:tc>
          <w:tcPr>
            <w:tcW w:w="695"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-0.8999</w:t>
            </w:r>
          </w:p>
        </w:tc>
        <w:tc>
          <w:tcPr>
            <w:tcW w:w="980"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0.3682</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val="en-ID" w:eastAsia="en-ID"/>
              </w:rPr>
            </w:pPr>
            <w:r w:rsidRPr="000926EE">
              <w:rPr>
                <w:color w:val="000000"/>
                <w:sz w:val="20"/>
                <w:szCs w:val="20"/>
                <w:lang w:val="en-ID" w:eastAsia="en-ID"/>
              </w:rPr>
              <w:t>Distance</w:t>
            </w:r>
          </w:p>
        </w:tc>
        <w:tc>
          <w:tcPr>
            <w:tcW w:w="934" w:type="pct"/>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0.8472</w:t>
            </w:r>
            <w:r w:rsidRPr="000926EE">
              <w:rPr>
                <w:color w:val="000000"/>
                <w:sz w:val="20"/>
                <w:szCs w:val="20"/>
                <w:vertAlign w:val="superscript"/>
                <w:lang w:eastAsia="en-ID"/>
              </w:rPr>
              <w:t>**</w:t>
            </w:r>
          </w:p>
        </w:tc>
        <w:tc>
          <w:tcPr>
            <w:tcW w:w="695"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2.2363</w:t>
            </w:r>
          </w:p>
        </w:tc>
        <w:tc>
          <w:tcPr>
            <w:tcW w:w="980"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0.0253</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val="en-ID" w:eastAsia="en-ID"/>
              </w:rPr>
            </w:pPr>
            <w:r w:rsidRPr="000926EE">
              <w:rPr>
                <w:color w:val="000000"/>
                <w:sz w:val="20"/>
                <w:szCs w:val="20"/>
                <w:lang w:val="en-ID" w:eastAsia="en-ID"/>
              </w:rPr>
              <w:t>Family burden</w:t>
            </w:r>
          </w:p>
        </w:tc>
        <w:tc>
          <w:tcPr>
            <w:tcW w:w="934" w:type="pct"/>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-0.0010</w:t>
            </w:r>
            <w:r w:rsidRPr="000926EE">
              <w:rPr>
                <w:color w:val="000000"/>
                <w:sz w:val="20"/>
                <w:szCs w:val="20"/>
                <w:vertAlign w:val="superscript"/>
                <w:lang w:eastAsia="en-ID"/>
              </w:rPr>
              <w:t>ns</w:t>
            </w:r>
          </w:p>
        </w:tc>
        <w:tc>
          <w:tcPr>
            <w:tcW w:w="695"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-0.3850</w:t>
            </w:r>
          </w:p>
        </w:tc>
        <w:tc>
          <w:tcPr>
            <w:tcW w:w="980"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0.7002</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Perception</w:t>
            </w:r>
          </w:p>
        </w:tc>
        <w:tc>
          <w:tcPr>
            <w:tcW w:w="934" w:type="pct"/>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0.9185</w:t>
            </w:r>
            <w:r w:rsidRPr="000926EE">
              <w:rPr>
                <w:color w:val="000000"/>
                <w:sz w:val="20"/>
                <w:szCs w:val="20"/>
                <w:vertAlign w:val="superscript"/>
                <w:lang w:eastAsia="en-ID"/>
              </w:rPr>
              <w:t>**</w:t>
            </w:r>
          </w:p>
        </w:tc>
        <w:tc>
          <w:tcPr>
            <w:tcW w:w="695"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2.3557</w:t>
            </w:r>
          </w:p>
        </w:tc>
        <w:tc>
          <w:tcPr>
            <w:tcW w:w="980" w:type="pct"/>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0.0185</w:t>
            </w:r>
          </w:p>
        </w:tc>
      </w:tr>
      <w:tr w:rsidR="000926EE" w:rsidRPr="000926EE" w:rsidTr="00E60569">
        <w:trPr>
          <w:trHeight w:val="60"/>
        </w:trPr>
        <w:tc>
          <w:tcPr>
            <w:tcW w:w="1643" w:type="pct"/>
            <w:tcBorders>
              <w:bottom w:val="single" w:sz="4" w:space="0" w:color="auto"/>
            </w:tcBorders>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Constanta</w:t>
            </w:r>
          </w:p>
        </w:tc>
        <w:tc>
          <w:tcPr>
            <w:tcW w:w="934" w:type="pct"/>
            <w:tcBorders>
              <w:bottom w:val="single" w:sz="4" w:space="0" w:color="auto"/>
            </w:tcBorders>
            <w:shd w:val="clear" w:color="auto" w:fill="auto"/>
            <w:noWrap/>
            <w:vAlign w:val="center"/>
            <w:hideMark/>
          </w:tcPr>
          <w:p w:rsidR="000926EE" w:rsidRPr="000926EE" w:rsidRDefault="000926EE" w:rsidP="001841D7">
            <w:pPr>
              <w:jc w:val="center"/>
              <w:rPr>
                <w:color w:val="000000"/>
                <w:sz w:val="20"/>
                <w:szCs w:val="20"/>
                <w:lang w:eastAsia="en-ID"/>
              </w:rPr>
            </w:pPr>
            <w:r w:rsidRPr="000926EE">
              <w:rPr>
                <w:color w:val="000000"/>
                <w:sz w:val="20"/>
                <w:szCs w:val="20"/>
                <w:lang w:eastAsia="en-ID"/>
              </w:rPr>
              <w:t>+/-</w:t>
            </w:r>
          </w:p>
        </w:tc>
        <w:tc>
          <w:tcPr>
            <w:tcW w:w="748" w:type="pct"/>
            <w:tcBorders>
              <w:bottom w:val="single" w:sz="4" w:space="0" w:color="auto"/>
            </w:tcBorders>
            <w:shd w:val="clear" w:color="auto" w:fill="auto"/>
            <w:noWrap/>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0.1210</w:t>
            </w:r>
            <w:r w:rsidRPr="000926EE">
              <w:rPr>
                <w:color w:val="000000"/>
                <w:sz w:val="20"/>
                <w:szCs w:val="20"/>
                <w:vertAlign w:val="superscript"/>
                <w:lang w:eastAsia="en-ID"/>
              </w:rPr>
              <w:t>ns</w:t>
            </w:r>
          </w:p>
        </w:tc>
        <w:tc>
          <w:tcPr>
            <w:tcW w:w="695" w:type="pct"/>
            <w:tcBorders>
              <w:bottom w:val="single" w:sz="4" w:space="0" w:color="auto"/>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0.3065</w:t>
            </w:r>
          </w:p>
        </w:tc>
        <w:tc>
          <w:tcPr>
            <w:tcW w:w="980" w:type="pct"/>
            <w:tcBorders>
              <w:bottom w:val="single" w:sz="4" w:space="0" w:color="auto"/>
            </w:tcBorders>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0.7592</w:t>
            </w:r>
          </w:p>
        </w:tc>
      </w:tr>
      <w:tr w:rsidR="000926EE" w:rsidRPr="000926EE" w:rsidTr="00E60569">
        <w:trPr>
          <w:trHeight w:val="50"/>
        </w:trPr>
        <w:tc>
          <w:tcPr>
            <w:tcW w:w="1643" w:type="pct"/>
            <w:tcBorders>
              <w:top w:val="single" w:sz="4" w:space="0" w:color="auto"/>
              <w:bottom w:val="nil"/>
            </w:tcBorders>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McFadden R</w:t>
            </w:r>
            <w:r w:rsidRPr="000926EE">
              <w:rPr>
                <w:color w:val="000000"/>
                <w:sz w:val="20"/>
                <w:szCs w:val="20"/>
                <w:vertAlign w:val="superscript"/>
                <w:lang w:eastAsia="en-ID"/>
              </w:rPr>
              <w:t>2</w:t>
            </w:r>
          </w:p>
        </w:tc>
        <w:tc>
          <w:tcPr>
            <w:tcW w:w="934" w:type="pct"/>
            <w:tcBorders>
              <w:top w:val="single" w:sz="4" w:space="0" w:color="auto"/>
              <w:bottom w:val="nil"/>
            </w:tcBorders>
            <w:shd w:val="clear" w:color="auto" w:fill="auto"/>
            <w:noWrap/>
            <w:vAlign w:val="center"/>
            <w:hideMark/>
          </w:tcPr>
          <w:p w:rsidR="000926EE" w:rsidRPr="000926EE" w:rsidRDefault="000926EE" w:rsidP="001841D7">
            <w:pPr>
              <w:rPr>
                <w:color w:val="000000"/>
                <w:sz w:val="20"/>
                <w:szCs w:val="20"/>
                <w:lang w:eastAsia="en-ID"/>
              </w:rPr>
            </w:pPr>
          </w:p>
        </w:tc>
        <w:tc>
          <w:tcPr>
            <w:tcW w:w="748" w:type="pct"/>
            <w:tcBorders>
              <w:top w:val="single" w:sz="4" w:space="0" w:color="auto"/>
              <w:bottom w:val="nil"/>
            </w:tcBorders>
            <w:shd w:val="clear" w:color="auto" w:fill="auto"/>
            <w:noWrap/>
            <w:vAlign w:val="center"/>
            <w:hideMark/>
          </w:tcPr>
          <w:p w:rsidR="000926EE" w:rsidRPr="000926EE" w:rsidRDefault="000926EE" w:rsidP="001841D7">
            <w:pPr>
              <w:jc w:val="right"/>
              <w:rPr>
                <w:sz w:val="20"/>
                <w:szCs w:val="20"/>
                <w:lang w:eastAsia="en-ID"/>
              </w:rPr>
            </w:pPr>
          </w:p>
        </w:tc>
        <w:tc>
          <w:tcPr>
            <w:tcW w:w="695" w:type="pct"/>
            <w:tcBorders>
              <w:top w:val="single" w:sz="4" w:space="0" w:color="auto"/>
              <w:bottom w:val="nil"/>
            </w:tcBorders>
            <w:shd w:val="clear" w:color="auto" w:fill="auto"/>
            <w:noWrap/>
            <w:vAlign w:val="center"/>
            <w:hideMark/>
          </w:tcPr>
          <w:p w:rsidR="000926EE" w:rsidRPr="000926EE" w:rsidRDefault="000926EE" w:rsidP="001841D7">
            <w:pPr>
              <w:jc w:val="right"/>
              <w:rPr>
                <w:sz w:val="20"/>
                <w:szCs w:val="20"/>
                <w:lang w:eastAsia="en-ID"/>
              </w:rPr>
            </w:pPr>
          </w:p>
        </w:tc>
        <w:tc>
          <w:tcPr>
            <w:tcW w:w="980" w:type="pct"/>
            <w:tcBorders>
              <w:top w:val="single" w:sz="4" w:space="0" w:color="auto"/>
              <w:bottom w:val="nil"/>
            </w:tcBorders>
            <w:shd w:val="clear" w:color="auto" w:fill="auto"/>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0.1900</w:t>
            </w:r>
          </w:p>
        </w:tc>
      </w:tr>
      <w:tr w:rsidR="000926EE" w:rsidRPr="000926EE" w:rsidTr="00E60569">
        <w:trPr>
          <w:trHeight w:val="60"/>
        </w:trPr>
        <w:tc>
          <w:tcPr>
            <w:tcW w:w="1643" w:type="pct"/>
            <w:tcBorders>
              <w:top w:val="nil"/>
            </w:tcBorders>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LR statistic</w:t>
            </w:r>
          </w:p>
        </w:tc>
        <w:tc>
          <w:tcPr>
            <w:tcW w:w="934" w:type="pct"/>
            <w:tcBorders>
              <w:top w:val="nil"/>
            </w:tcBorders>
            <w:shd w:val="clear" w:color="auto" w:fill="auto"/>
            <w:noWrap/>
            <w:vAlign w:val="center"/>
            <w:hideMark/>
          </w:tcPr>
          <w:p w:rsidR="000926EE" w:rsidRPr="000926EE" w:rsidRDefault="000926EE" w:rsidP="001841D7">
            <w:pPr>
              <w:rPr>
                <w:color w:val="000000"/>
                <w:sz w:val="20"/>
                <w:szCs w:val="20"/>
                <w:lang w:eastAsia="en-ID"/>
              </w:rPr>
            </w:pPr>
          </w:p>
        </w:tc>
        <w:tc>
          <w:tcPr>
            <w:tcW w:w="748" w:type="pct"/>
            <w:tcBorders>
              <w:top w:val="nil"/>
            </w:tcBorders>
            <w:shd w:val="clear" w:color="auto" w:fill="auto"/>
            <w:noWrap/>
            <w:vAlign w:val="center"/>
            <w:hideMark/>
          </w:tcPr>
          <w:p w:rsidR="000926EE" w:rsidRPr="000926EE" w:rsidRDefault="000926EE" w:rsidP="001841D7">
            <w:pPr>
              <w:jc w:val="right"/>
              <w:rPr>
                <w:sz w:val="20"/>
                <w:szCs w:val="20"/>
                <w:lang w:eastAsia="en-ID"/>
              </w:rPr>
            </w:pPr>
          </w:p>
        </w:tc>
        <w:tc>
          <w:tcPr>
            <w:tcW w:w="695" w:type="pct"/>
            <w:tcBorders>
              <w:top w:val="nil"/>
            </w:tcBorders>
            <w:shd w:val="clear" w:color="auto" w:fill="auto"/>
            <w:noWrap/>
            <w:vAlign w:val="center"/>
            <w:hideMark/>
          </w:tcPr>
          <w:p w:rsidR="000926EE" w:rsidRPr="000926EE" w:rsidRDefault="000926EE" w:rsidP="001841D7">
            <w:pPr>
              <w:jc w:val="right"/>
              <w:rPr>
                <w:sz w:val="20"/>
                <w:szCs w:val="20"/>
                <w:lang w:eastAsia="en-ID"/>
              </w:rPr>
            </w:pPr>
          </w:p>
        </w:tc>
        <w:tc>
          <w:tcPr>
            <w:tcW w:w="980" w:type="pct"/>
            <w:tcBorders>
              <w:top w:val="nil"/>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10.6504</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Prob(LR statistic)</w:t>
            </w:r>
          </w:p>
        </w:tc>
        <w:tc>
          <w:tcPr>
            <w:tcW w:w="934" w:type="pct"/>
            <w:shd w:val="clear" w:color="auto" w:fill="auto"/>
            <w:noWrap/>
            <w:vAlign w:val="center"/>
            <w:hideMark/>
          </w:tcPr>
          <w:p w:rsidR="000926EE" w:rsidRPr="000926EE" w:rsidRDefault="000926EE" w:rsidP="001841D7">
            <w:pPr>
              <w:rPr>
                <w:color w:val="000000"/>
                <w:sz w:val="20"/>
                <w:szCs w:val="20"/>
                <w:lang w:eastAsia="en-ID"/>
              </w:rPr>
            </w:pPr>
          </w:p>
        </w:tc>
        <w:tc>
          <w:tcPr>
            <w:tcW w:w="748" w:type="pct"/>
            <w:shd w:val="clear" w:color="auto" w:fill="auto"/>
            <w:noWrap/>
            <w:vAlign w:val="center"/>
            <w:hideMark/>
          </w:tcPr>
          <w:p w:rsidR="000926EE" w:rsidRPr="000926EE" w:rsidRDefault="000926EE" w:rsidP="001841D7">
            <w:pPr>
              <w:jc w:val="right"/>
              <w:rPr>
                <w:sz w:val="20"/>
                <w:szCs w:val="20"/>
                <w:lang w:eastAsia="en-ID"/>
              </w:rPr>
            </w:pPr>
          </w:p>
        </w:tc>
        <w:tc>
          <w:tcPr>
            <w:tcW w:w="695" w:type="pct"/>
            <w:shd w:val="clear" w:color="auto" w:fill="auto"/>
            <w:noWrap/>
            <w:vAlign w:val="center"/>
            <w:hideMark/>
          </w:tcPr>
          <w:p w:rsidR="000926EE" w:rsidRPr="000926EE" w:rsidRDefault="000926EE" w:rsidP="001841D7">
            <w:pPr>
              <w:jc w:val="right"/>
              <w:rPr>
                <w:sz w:val="20"/>
                <w:szCs w:val="20"/>
                <w:lang w:eastAsia="en-ID"/>
              </w:rPr>
            </w:pPr>
          </w:p>
        </w:tc>
        <w:tc>
          <w:tcPr>
            <w:tcW w:w="980" w:type="pct"/>
            <w:shd w:val="clear" w:color="auto" w:fill="auto"/>
            <w:vAlign w:val="center"/>
            <w:hideMark/>
          </w:tcPr>
          <w:p w:rsidR="000926EE" w:rsidRPr="000926EE" w:rsidRDefault="000926EE" w:rsidP="001841D7">
            <w:pPr>
              <w:jc w:val="right"/>
              <w:rPr>
                <w:color w:val="000000"/>
                <w:sz w:val="20"/>
                <w:szCs w:val="20"/>
                <w:vertAlign w:val="superscript"/>
                <w:lang w:eastAsia="en-ID"/>
              </w:rPr>
            </w:pPr>
            <w:r w:rsidRPr="000926EE">
              <w:rPr>
                <w:color w:val="000000"/>
                <w:sz w:val="20"/>
                <w:szCs w:val="20"/>
                <w:lang w:eastAsia="en-ID"/>
              </w:rPr>
              <w:t>0.0588</w:t>
            </w:r>
            <w:r w:rsidRPr="000926EE">
              <w:rPr>
                <w:color w:val="000000"/>
                <w:sz w:val="20"/>
                <w:szCs w:val="20"/>
                <w:vertAlign w:val="superscript"/>
                <w:lang w:eastAsia="en-ID"/>
              </w:rPr>
              <w:t>*</w:t>
            </w:r>
          </w:p>
        </w:tc>
      </w:tr>
      <w:tr w:rsidR="000926EE" w:rsidRPr="000926EE" w:rsidTr="00E60569">
        <w:trPr>
          <w:trHeight w:val="60"/>
        </w:trPr>
        <w:tc>
          <w:tcPr>
            <w:tcW w:w="1643" w:type="pct"/>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H-L statistic</w:t>
            </w:r>
          </w:p>
        </w:tc>
        <w:tc>
          <w:tcPr>
            <w:tcW w:w="934" w:type="pct"/>
            <w:shd w:val="clear" w:color="auto" w:fill="auto"/>
            <w:noWrap/>
            <w:vAlign w:val="center"/>
            <w:hideMark/>
          </w:tcPr>
          <w:p w:rsidR="000926EE" w:rsidRPr="000926EE" w:rsidRDefault="000926EE" w:rsidP="001841D7">
            <w:pPr>
              <w:rPr>
                <w:color w:val="000000"/>
                <w:sz w:val="20"/>
                <w:szCs w:val="20"/>
                <w:lang w:eastAsia="en-ID"/>
              </w:rPr>
            </w:pPr>
          </w:p>
        </w:tc>
        <w:tc>
          <w:tcPr>
            <w:tcW w:w="748" w:type="pct"/>
            <w:shd w:val="clear" w:color="auto" w:fill="auto"/>
            <w:noWrap/>
            <w:vAlign w:val="center"/>
            <w:hideMark/>
          </w:tcPr>
          <w:p w:rsidR="000926EE" w:rsidRPr="000926EE" w:rsidRDefault="000926EE" w:rsidP="001841D7">
            <w:pPr>
              <w:jc w:val="right"/>
              <w:rPr>
                <w:sz w:val="20"/>
                <w:szCs w:val="20"/>
                <w:lang w:eastAsia="en-ID"/>
              </w:rPr>
            </w:pPr>
          </w:p>
        </w:tc>
        <w:tc>
          <w:tcPr>
            <w:tcW w:w="695" w:type="pct"/>
            <w:shd w:val="clear" w:color="auto" w:fill="auto"/>
            <w:noWrap/>
            <w:vAlign w:val="center"/>
            <w:hideMark/>
          </w:tcPr>
          <w:p w:rsidR="000926EE" w:rsidRPr="000926EE" w:rsidRDefault="000926EE" w:rsidP="001841D7">
            <w:pPr>
              <w:jc w:val="right"/>
              <w:rPr>
                <w:sz w:val="20"/>
                <w:szCs w:val="20"/>
                <w:lang w:eastAsia="en-ID"/>
              </w:rPr>
            </w:pPr>
          </w:p>
        </w:tc>
        <w:tc>
          <w:tcPr>
            <w:tcW w:w="980" w:type="pct"/>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6.3847</w:t>
            </w:r>
          </w:p>
        </w:tc>
      </w:tr>
      <w:tr w:rsidR="000926EE" w:rsidRPr="000926EE" w:rsidTr="00E60569">
        <w:trPr>
          <w:trHeight w:val="60"/>
        </w:trPr>
        <w:tc>
          <w:tcPr>
            <w:tcW w:w="1643" w:type="pct"/>
            <w:tcBorders>
              <w:bottom w:val="single" w:sz="4" w:space="0" w:color="auto"/>
            </w:tcBorders>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Prob(H-L statistic)</w:t>
            </w:r>
          </w:p>
        </w:tc>
        <w:tc>
          <w:tcPr>
            <w:tcW w:w="934" w:type="pct"/>
            <w:tcBorders>
              <w:bottom w:val="single" w:sz="4" w:space="0" w:color="auto"/>
            </w:tcBorders>
            <w:shd w:val="clear" w:color="auto" w:fill="auto"/>
            <w:noWrap/>
            <w:vAlign w:val="center"/>
            <w:hideMark/>
          </w:tcPr>
          <w:p w:rsidR="000926EE" w:rsidRPr="000926EE" w:rsidRDefault="000926EE" w:rsidP="001841D7">
            <w:pPr>
              <w:rPr>
                <w:color w:val="000000"/>
                <w:sz w:val="20"/>
                <w:szCs w:val="20"/>
                <w:lang w:eastAsia="en-ID"/>
              </w:rPr>
            </w:pPr>
          </w:p>
        </w:tc>
        <w:tc>
          <w:tcPr>
            <w:tcW w:w="748" w:type="pct"/>
            <w:tcBorders>
              <w:bottom w:val="single" w:sz="4" w:space="0" w:color="auto"/>
            </w:tcBorders>
            <w:shd w:val="clear" w:color="auto" w:fill="auto"/>
            <w:noWrap/>
            <w:vAlign w:val="center"/>
            <w:hideMark/>
          </w:tcPr>
          <w:p w:rsidR="000926EE" w:rsidRPr="000926EE" w:rsidRDefault="000926EE" w:rsidP="001841D7">
            <w:pPr>
              <w:jc w:val="right"/>
              <w:rPr>
                <w:sz w:val="20"/>
                <w:szCs w:val="20"/>
                <w:lang w:eastAsia="en-ID"/>
              </w:rPr>
            </w:pPr>
          </w:p>
        </w:tc>
        <w:tc>
          <w:tcPr>
            <w:tcW w:w="695" w:type="pct"/>
            <w:tcBorders>
              <w:bottom w:val="single" w:sz="4" w:space="0" w:color="auto"/>
            </w:tcBorders>
            <w:shd w:val="clear" w:color="auto" w:fill="auto"/>
            <w:noWrap/>
            <w:vAlign w:val="center"/>
            <w:hideMark/>
          </w:tcPr>
          <w:p w:rsidR="000926EE" w:rsidRPr="000926EE" w:rsidRDefault="000926EE" w:rsidP="001841D7">
            <w:pPr>
              <w:jc w:val="right"/>
              <w:rPr>
                <w:sz w:val="20"/>
                <w:szCs w:val="20"/>
                <w:lang w:eastAsia="en-ID"/>
              </w:rPr>
            </w:pPr>
          </w:p>
        </w:tc>
        <w:tc>
          <w:tcPr>
            <w:tcW w:w="980" w:type="pct"/>
            <w:tcBorders>
              <w:bottom w:val="single" w:sz="4" w:space="0" w:color="auto"/>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0.6042</w:t>
            </w:r>
          </w:p>
        </w:tc>
      </w:tr>
      <w:tr w:rsidR="000926EE" w:rsidRPr="000926EE" w:rsidTr="00E60569">
        <w:trPr>
          <w:trHeight w:val="50"/>
        </w:trPr>
        <w:tc>
          <w:tcPr>
            <w:tcW w:w="1643" w:type="pct"/>
            <w:tcBorders>
              <w:top w:val="single" w:sz="4" w:space="0" w:color="auto"/>
              <w:bottom w:val="nil"/>
            </w:tcBorders>
            <w:shd w:val="clear" w:color="auto" w:fill="auto"/>
            <w:noWrap/>
            <w:vAlign w:val="center"/>
            <w:hideMark/>
          </w:tcPr>
          <w:p w:rsidR="000926EE" w:rsidRPr="000926EE" w:rsidRDefault="000926EE" w:rsidP="001841D7">
            <w:pPr>
              <w:rPr>
                <w:color w:val="000000"/>
                <w:sz w:val="20"/>
                <w:szCs w:val="20"/>
                <w:lang w:eastAsia="en-ID"/>
              </w:rPr>
            </w:pPr>
            <w:r>
              <w:rPr>
                <w:color w:val="000000"/>
                <w:sz w:val="20"/>
                <w:szCs w:val="20"/>
                <w:lang w:eastAsia="en-ID"/>
              </w:rPr>
              <w:t xml:space="preserve">Obs with </w:t>
            </w:r>
            <w:r w:rsidRPr="000926EE">
              <w:rPr>
                <w:color w:val="000000"/>
                <w:sz w:val="20"/>
                <w:szCs w:val="20"/>
                <w:lang w:eastAsia="en-ID"/>
              </w:rPr>
              <w:t>Dep=0</w:t>
            </w:r>
          </w:p>
        </w:tc>
        <w:tc>
          <w:tcPr>
            <w:tcW w:w="934" w:type="pct"/>
            <w:tcBorders>
              <w:top w:val="single" w:sz="4" w:space="0" w:color="auto"/>
              <w:bottom w:val="nil"/>
            </w:tcBorders>
            <w:shd w:val="clear" w:color="auto" w:fill="auto"/>
            <w:noWrap/>
            <w:vAlign w:val="center"/>
            <w:hideMark/>
          </w:tcPr>
          <w:p w:rsidR="000926EE" w:rsidRPr="000926EE" w:rsidRDefault="000926EE" w:rsidP="001841D7">
            <w:pPr>
              <w:rPr>
                <w:color w:val="000000"/>
                <w:sz w:val="20"/>
                <w:szCs w:val="20"/>
                <w:lang w:eastAsia="en-ID"/>
              </w:rPr>
            </w:pPr>
          </w:p>
        </w:tc>
        <w:tc>
          <w:tcPr>
            <w:tcW w:w="748" w:type="pct"/>
            <w:tcBorders>
              <w:top w:val="single" w:sz="4" w:space="0" w:color="auto"/>
              <w:bottom w:val="nil"/>
            </w:tcBorders>
            <w:shd w:val="clear" w:color="auto" w:fill="auto"/>
            <w:noWrap/>
            <w:vAlign w:val="center"/>
            <w:hideMark/>
          </w:tcPr>
          <w:p w:rsidR="000926EE" w:rsidRPr="000926EE" w:rsidRDefault="000926EE" w:rsidP="001841D7">
            <w:pPr>
              <w:jc w:val="right"/>
              <w:rPr>
                <w:sz w:val="20"/>
                <w:szCs w:val="20"/>
                <w:lang w:eastAsia="en-ID"/>
              </w:rPr>
            </w:pPr>
          </w:p>
        </w:tc>
        <w:tc>
          <w:tcPr>
            <w:tcW w:w="695" w:type="pct"/>
            <w:tcBorders>
              <w:top w:val="single" w:sz="4" w:space="0" w:color="auto"/>
              <w:bottom w:val="nil"/>
            </w:tcBorders>
            <w:shd w:val="clear" w:color="auto" w:fill="auto"/>
            <w:noWrap/>
            <w:vAlign w:val="center"/>
            <w:hideMark/>
          </w:tcPr>
          <w:p w:rsidR="000926EE" w:rsidRPr="000926EE" w:rsidRDefault="000926EE" w:rsidP="001841D7">
            <w:pPr>
              <w:jc w:val="right"/>
              <w:rPr>
                <w:sz w:val="20"/>
                <w:szCs w:val="20"/>
                <w:lang w:eastAsia="en-ID"/>
              </w:rPr>
            </w:pPr>
          </w:p>
        </w:tc>
        <w:tc>
          <w:tcPr>
            <w:tcW w:w="980" w:type="pct"/>
            <w:tcBorders>
              <w:top w:val="single" w:sz="4" w:space="0" w:color="auto"/>
              <w:bottom w:val="nil"/>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33.0000</w:t>
            </w:r>
          </w:p>
        </w:tc>
      </w:tr>
      <w:tr w:rsidR="000926EE" w:rsidRPr="000926EE" w:rsidTr="00E60569">
        <w:trPr>
          <w:trHeight w:val="60"/>
        </w:trPr>
        <w:tc>
          <w:tcPr>
            <w:tcW w:w="1643" w:type="pct"/>
            <w:tcBorders>
              <w:top w:val="nil"/>
            </w:tcBorders>
            <w:shd w:val="clear" w:color="auto" w:fill="auto"/>
            <w:noWrap/>
            <w:vAlign w:val="center"/>
            <w:hideMark/>
          </w:tcPr>
          <w:p w:rsidR="000926EE" w:rsidRPr="000926EE" w:rsidRDefault="000926EE" w:rsidP="001841D7">
            <w:pPr>
              <w:rPr>
                <w:color w:val="000000"/>
                <w:sz w:val="20"/>
                <w:szCs w:val="20"/>
                <w:lang w:eastAsia="en-ID"/>
              </w:rPr>
            </w:pPr>
            <w:r>
              <w:rPr>
                <w:color w:val="000000"/>
                <w:sz w:val="20"/>
                <w:szCs w:val="20"/>
                <w:lang w:eastAsia="en-ID"/>
              </w:rPr>
              <w:t>Obs with</w:t>
            </w:r>
            <w:r w:rsidRPr="000926EE">
              <w:rPr>
                <w:color w:val="000000"/>
                <w:sz w:val="20"/>
                <w:szCs w:val="20"/>
                <w:lang w:eastAsia="en-ID"/>
              </w:rPr>
              <w:t xml:space="preserve"> Dep=1</w:t>
            </w:r>
          </w:p>
        </w:tc>
        <w:tc>
          <w:tcPr>
            <w:tcW w:w="934" w:type="pct"/>
            <w:tcBorders>
              <w:top w:val="nil"/>
            </w:tcBorders>
            <w:shd w:val="clear" w:color="auto" w:fill="auto"/>
            <w:noWrap/>
            <w:vAlign w:val="center"/>
            <w:hideMark/>
          </w:tcPr>
          <w:p w:rsidR="000926EE" w:rsidRPr="000926EE" w:rsidRDefault="000926EE" w:rsidP="001841D7">
            <w:pPr>
              <w:rPr>
                <w:color w:val="000000"/>
                <w:sz w:val="20"/>
                <w:szCs w:val="20"/>
                <w:lang w:eastAsia="en-ID"/>
              </w:rPr>
            </w:pPr>
          </w:p>
        </w:tc>
        <w:tc>
          <w:tcPr>
            <w:tcW w:w="748" w:type="pct"/>
            <w:tcBorders>
              <w:top w:val="nil"/>
            </w:tcBorders>
            <w:shd w:val="clear" w:color="auto" w:fill="auto"/>
            <w:noWrap/>
            <w:vAlign w:val="center"/>
            <w:hideMark/>
          </w:tcPr>
          <w:p w:rsidR="000926EE" w:rsidRPr="000926EE" w:rsidRDefault="000926EE" w:rsidP="001841D7">
            <w:pPr>
              <w:jc w:val="right"/>
              <w:rPr>
                <w:sz w:val="20"/>
                <w:szCs w:val="20"/>
                <w:lang w:eastAsia="en-ID"/>
              </w:rPr>
            </w:pPr>
          </w:p>
        </w:tc>
        <w:tc>
          <w:tcPr>
            <w:tcW w:w="695" w:type="pct"/>
            <w:tcBorders>
              <w:top w:val="nil"/>
            </w:tcBorders>
            <w:shd w:val="clear" w:color="auto" w:fill="auto"/>
            <w:noWrap/>
            <w:vAlign w:val="center"/>
            <w:hideMark/>
          </w:tcPr>
          <w:p w:rsidR="000926EE" w:rsidRPr="000926EE" w:rsidRDefault="000926EE" w:rsidP="001841D7">
            <w:pPr>
              <w:jc w:val="right"/>
              <w:rPr>
                <w:sz w:val="20"/>
                <w:szCs w:val="20"/>
                <w:lang w:eastAsia="en-ID"/>
              </w:rPr>
            </w:pPr>
          </w:p>
        </w:tc>
        <w:tc>
          <w:tcPr>
            <w:tcW w:w="980" w:type="pct"/>
            <w:tcBorders>
              <w:top w:val="nil"/>
            </w:tcBorders>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57.0000</w:t>
            </w:r>
          </w:p>
        </w:tc>
      </w:tr>
      <w:tr w:rsidR="000926EE" w:rsidRPr="000926EE" w:rsidTr="000926EE">
        <w:trPr>
          <w:trHeight w:val="146"/>
        </w:trPr>
        <w:tc>
          <w:tcPr>
            <w:tcW w:w="1643" w:type="pct"/>
            <w:shd w:val="clear" w:color="auto" w:fill="auto"/>
            <w:noWrap/>
            <w:vAlign w:val="center"/>
            <w:hideMark/>
          </w:tcPr>
          <w:p w:rsidR="000926EE" w:rsidRPr="000926EE" w:rsidRDefault="000926EE" w:rsidP="001841D7">
            <w:pPr>
              <w:rPr>
                <w:color w:val="000000"/>
                <w:sz w:val="20"/>
                <w:szCs w:val="20"/>
                <w:lang w:eastAsia="en-ID"/>
              </w:rPr>
            </w:pPr>
            <w:r w:rsidRPr="000926EE">
              <w:rPr>
                <w:color w:val="000000"/>
                <w:sz w:val="20"/>
                <w:szCs w:val="20"/>
                <w:lang w:eastAsia="en-ID"/>
              </w:rPr>
              <w:t>Total obs</w:t>
            </w:r>
          </w:p>
        </w:tc>
        <w:tc>
          <w:tcPr>
            <w:tcW w:w="934" w:type="pct"/>
            <w:shd w:val="clear" w:color="auto" w:fill="auto"/>
            <w:noWrap/>
            <w:vAlign w:val="center"/>
            <w:hideMark/>
          </w:tcPr>
          <w:p w:rsidR="000926EE" w:rsidRPr="000926EE" w:rsidRDefault="000926EE" w:rsidP="001841D7">
            <w:pPr>
              <w:rPr>
                <w:color w:val="000000"/>
                <w:sz w:val="20"/>
                <w:szCs w:val="20"/>
                <w:lang w:eastAsia="en-ID"/>
              </w:rPr>
            </w:pPr>
          </w:p>
        </w:tc>
        <w:tc>
          <w:tcPr>
            <w:tcW w:w="748" w:type="pct"/>
            <w:shd w:val="clear" w:color="auto" w:fill="auto"/>
            <w:noWrap/>
            <w:vAlign w:val="center"/>
            <w:hideMark/>
          </w:tcPr>
          <w:p w:rsidR="000926EE" w:rsidRPr="000926EE" w:rsidRDefault="000926EE" w:rsidP="001841D7">
            <w:pPr>
              <w:jc w:val="right"/>
              <w:rPr>
                <w:sz w:val="20"/>
                <w:szCs w:val="20"/>
                <w:lang w:eastAsia="en-ID"/>
              </w:rPr>
            </w:pPr>
          </w:p>
        </w:tc>
        <w:tc>
          <w:tcPr>
            <w:tcW w:w="695" w:type="pct"/>
            <w:shd w:val="clear" w:color="auto" w:fill="auto"/>
            <w:noWrap/>
            <w:vAlign w:val="center"/>
            <w:hideMark/>
          </w:tcPr>
          <w:p w:rsidR="000926EE" w:rsidRPr="000926EE" w:rsidRDefault="000926EE" w:rsidP="001841D7">
            <w:pPr>
              <w:jc w:val="right"/>
              <w:rPr>
                <w:sz w:val="20"/>
                <w:szCs w:val="20"/>
                <w:lang w:eastAsia="en-ID"/>
              </w:rPr>
            </w:pPr>
          </w:p>
        </w:tc>
        <w:tc>
          <w:tcPr>
            <w:tcW w:w="980" w:type="pct"/>
            <w:shd w:val="clear" w:color="auto" w:fill="auto"/>
            <w:noWrap/>
            <w:vAlign w:val="center"/>
            <w:hideMark/>
          </w:tcPr>
          <w:p w:rsidR="000926EE" w:rsidRPr="000926EE" w:rsidRDefault="000926EE" w:rsidP="001841D7">
            <w:pPr>
              <w:jc w:val="right"/>
              <w:rPr>
                <w:color w:val="000000"/>
                <w:sz w:val="20"/>
                <w:szCs w:val="20"/>
                <w:lang w:eastAsia="en-ID"/>
              </w:rPr>
            </w:pPr>
            <w:r w:rsidRPr="000926EE">
              <w:rPr>
                <w:color w:val="000000"/>
                <w:sz w:val="20"/>
                <w:szCs w:val="20"/>
                <w:lang w:eastAsia="en-ID"/>
              </w:rPr>
              <w:t>90.0000</w:t>
            </w:r>
          </w:p>
        </w:tc>
      </w:tr>
    </w:tbl>
    <w:p w:rsidR="000926EE" w:rsidRPr="000926EE" w:rsidRDefault="000926EE" w:rsidP="001841D7">
      <w:pPr>
        <w:spacing w:line="276" w:lineRule="auto"/>
        <w:jc w:val="both"/>
        <w:rPr>
          <w:sz w:val="22"/>
          <w:szCs w:val="22"/>
        </w:rPr>
      </w:pPr>
      <w:r w:rsidRPr="000926EE">
        <w:rPr>
          <w:sz w:val="22"/>
          <w:szCs w:val="22"/>
        </w:rPr>
        <w:t>Sour</w:t>
      </w:r>
      <w:r>
        <w:rPr>
          <w:sz w:val="22"/>
          <w:szCs w:val="22"/>
        </w:rPr>
        <w:t>ce: Analysis of Primary Data (</w:t>
      </w:r>
      <w:r w:rsidRPr="000926EE">
        <w:rPr>
          <w:sz w:val="22"/>
          <w:szCs w:val="22"/>
        </w:rPr>
        <w:t>2019</w:t>
      </w:r>
      <w:r>
        <w:rPr>
          <w:sz w:val="22"/>
          <w:szCs w:val="22"/>
        </w:rPr>
        <w:t>)</w:t>
      </w:r>
    </w:p>
    <w:p w:rsidR="000F27CA" w:rsidRDefault="000926EE" w:rsidP="001841D7">
      <w:pPr>
        <w:spacing w:line="276" w:lineRule="auto"/>
        <w:jc w:val="both"/>
        <w:rPr>
          <w:sz w:val="22"/>
          <w:szCs w:val="22"/>
        </w:rPr>
      </w:pPr>
      <w:r w:rsidRPr="000926EE">
        <w:rPr>
          <w:sz w:val="22"/>
          <w:szCs w:val="22"/>
        </w:rPr>
        <w:t>Where:</w:t>
      </w:r>
      <w:r w:rsidR="00722F9D">
        <w:rPr>
          <w:sz w:val="22"/>
          <w:szCs w:val="22"/>
        </w:rPr>
        <w:t xml:space="preserve"> </w:t>
      </w:r>
      <w:r w:rsidRPr="000926EE">
        <w:rPr>
          <w:sz w:val="22"/>
          <w:szCs w:val="22"/>
          <w:vertAlign w:val="superscript"/>
        </w:rPr>
        <w:t>***</w:t>
      </w:r>
      <w:r>
        <w:rPr>
          <w:sz w:val="22"/>
          <w:szCs w:val="22"/>
        </w:rPr>
        <w:t xml:space="preserve"> </w:t>
      </w:r>
      <w:r w:rsidRPr="000926EE">
        <w:rPr>
          <w:sz w:val="22"/>
          <w:szCs w:val="22"/>
        </w:rPr>
        <w:t>significant at the error rate 1% (α=0.01)</w:t>
      </w:r>
      <w:r w:rsidR="00722F9D">
        <w:rPr>
          <w:sz w:val="22"/>
          <w:szCs w:val="22"/>
        </w:rPr>
        <w:t xml:space="preserve">; </w:t>
      </w:r>
      <w:r w:rsidRPr="000926EE">
        <w:rPr>
          <w:sz w:val="22"/>
          <w:szCs w:val="22"/>
          <w:vertAlign w:val="superscript"/>
        </w:rPr>
        <w:t>**</w:t>
      </w:r>
      <w:r w:rsidRPr="000926EE">
        <w:rPr>
          <w:sz w:val="22"/>
          <w:szCs w:val="22"/>
        </w:rPr>
        <w:t xml:space="preserve"> significant at the error rate 5% (α=0.05)</w:t>
      </w:r>
      <w:r w:rsidR="00722F9D">
        <w:rPr>
          <w:sz w:val="22"/>
          <w:szCs w:val="22"/>
        </w:rPr>
        <w:t xml:space="preserve">; </w:t>
      </w:r>
      <w:r w:rsidRPr="000926EE">
        <w:rPr>
          <w:sz w:val="22"/>
          <w:szCs w:val="22"/>
          <w:vertAlign w:val="superscript"/>
        </w:rPr>
        <w:t>*</w:t>
      </w:r>
      <w:r w:rsidRPr="000926EE">
        <w:rPr>
          <w:sz w:val="22"/>
          <w:szCs w:val="22"/>
        </w:rPr>
        <w:t xml:space="preserve"> </w:t>
      </w:r>
      <w:r w:rsidRPr="000926EE">
        <w:rPr>
          <w:sz w:val="22"/>
          <w:szCs w:val="22"/>
          <w:lang w:val="en-ID"/>
        </w:rPr>
        <w:t xml:space="preserve"> </w:t>
      </w:r>
      <w:r w:rsidRPr="000926EE">
        <w:rPr>
          <w:sz w:val="22"/>
          <w:szCs w:val="22"/>
        </w:rPr>
        <w:t>significant at the error rate 10% (α=0.10)</w:t>
      </w:r>
      <w:r w:rsidR="00722F9D">
        <w:rPr>
          <w:sz w:val="22"/>
          <w:szCs w:val="22"/>
        </w:rPr>
        <w:t xml:space="preserve">, </w:t>
      </w:r>
      <w:r w:rsidRPr="000926EE">
        <w:rPr>
          <w:sz w:val="22"/>
          <w:szCs w:val="22"/>
          <w:vertAlign w:val="superscript"/>
        </w:rPr>
        <w:t>ns</w:t>
      </w:r>
      <w:r>
        <w:rPr>
          <w:sz w:val="22"/>
          <w:szCs w:val="22"/>
        </w:rPr>
        <w:t xml:space="preserve"> not significant</w:t>
      </w:r>
    </w:p>
    <w:p w:rsidR="000F27CA" w:rsidRDefault="000F27CA" w:rsidP="001841D7">
      <w:pPr>
        <w:widowControl w:val="0"/>
        <w:autoSpaceDE w:val="0"/>
        <w:autoSpaceDN w:val="0"/>
        <w:adjustRightInd w:val="0"/>
        <w:spacing w:line="276" w:lineRule="auto"/>
        <w:ind w:right="-32"/>
        <w:jc w:val="both"/>
        <w:rPr>
          <w:sz w:val="22"/>
          <w:szCs w:val="22"/>
        </w:rPr>
      </w:pPr>
    </w:p>
    <w:p w:rsidR="000F27CA" w:rsidRDefault="000F27CA" w:rsidP="001841D7">
      <w:pPr>
        <w:widowControl w:val="0"/>
        <w:autoSpaceDE w:val="0"/>
        <w:autoSpaceDN w:val="0"/>
        <w:adjustRightInd w:val="0"/>
        <w:spacing w:line="276" w:lineRule="auto"/>
        <w:ind w:right="-32"/>
        <w:jc w:val="both"/>
        <w:rPr>
          <w:sz w:val="22"/>
          <w:szCs w:val="22"/>
        </w:rPr>
        <w:sectPr w:rsidR="000F27CA" w:rsidSect="001841D7">
          <w:type w:val="continuous"/>
          <w:pgSz w:w="11907" w:h="16840" w:code="9"/>
          <w:pgMar w:top="2268" w:right="1701" w:bottom="1701" w:left="2268" w:header="720" w:footer="720" w:gutter="0"/>
          <w:cols w:space="562"/>
          <w:docGrid w:linePitch="360"/>
        </w:sectPr>
      </w:pPr>
    </w:p>
    <w:p w:rsidR="004575E7" w:rsidRPr="00FD6193" w:rsidRDefault="00A75724"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Pr>
          <w:color w:val="222222"/>
          <w:sz w:val="22"/>
          <w:szCs w:val="22"/>
          <w:shd w:val="clear" w:color="auto" w:fill="FFFFFF"/>
          <w:lang w:val="en-ID"/>
        </w:rPr>
        <w:t>T</w:t>
      </w:r>
      <w:r w:rsidR="004575E7" w:rsidRPr="00FD6193">
        <w:rPr>
          <w:color w:val="222222"/>
          <w:sz w:val="22"/>
          <w:szCs w:val="22"/>
          <w:shd w:val="clear" w:color="auto" w:fill="FFFFFF"/>
          <w:lang w:val="en-ID"/>
        </w:rPr>
        <w:t>he variable distance of agricultural land to the main road significant influence on the farmers' decision to accept or reject the WTA.</w:t>
      </w:r>
      <w:r w:rsidR="00D63E4B">
        <w:rPr>
          <w:color w:val="222222"/>
          <w:sz w:val="22"/>
          <w:szCs w:val="22"/>
          <w:shd w:val="clear" w:color="auto" w:fill="FFFFFF"/>
          <w:lang w:val="en-ID"/>
        </w:rPr>
        <w:t xml:space="preserve"> T</w:t>
      </w:r>
      <w:r w:rsidR="004575E7" w:rsidRPr="00FD6193">
        <w:rPr>
          <w:color w:val="222222"/>
          <w:sz w:val="22"/>
          <w:szCs w:val="22"/>
          <w:shd w:val="clear" w:color="auto" w:fill="FFFFFF"/>
          <w:lang w:val="en-ID"/>
        </w:rPr>
        <w:t xml:space="preserve">he regression coefficient value of the variable distance of agricultural land to the main road is 0.8472. The regression </w:t>
      </w:r>
      <w:r w:rsidR="0039572A" w:rsidRPr="00FD6193">
        <w:rPr>
          <w:color w:val="222222"/>
          <w:sz w:val="22"/>
          <w:szCs w:val="22"/>
          <w:shd w:val="clear" w:color="auto" w:fill="FFFFFF"/>
          <w:lang w:val="en-ID"/>
        </w:rPr>
        <w:t>coefficient is positive, so</w:t>
      </w:r>
      <w:r w:rsidR="004575E7" w:rsidRPr="00FD6193">
        <w:rPr>
          <w:color w:val="222222"/>
          <w:sz w:val="22"/>
          <w:szCs w:val="22"/>
          <w:shd w:val="clear" w:color="auto" w:fill="FFFFFF"/>
          <w:lang w:val="en-ID"/>
        </w:rPr>
        <w:t xml:space="preserve"> it can be interpreted that the farther the distance of agricultural land to the main road, the greater the chance of farmers not to receive compensation (WTA). Farmers who have agricultural land far from the main road have a tendency to refuse the compensation given. This can be caused by </w:t>
      </w:r>
      <w:r w:rsidR="0039572A" w:rsidRPr="00FD6193">
        <w:rPr>
          <w:color w:val="222222"/>
          <w:sz w:val="22"/>
          <w:szCs w:val="22"/>
          <w:shd w:val="clear" w:color="auto" w:fill="FFFFFF"/>
          <w:lang w:val="en-ID"/>
        </w:rPr>
        <w:t xml:space="preserve">the fact that </w:t>
      </w:r>
      <w:r w:rsidR="004575E7" w:rsidRPr="00FD6193">
        <w:rPr>
          <w:color w:val="222222"/>
          <w:sz w:val="22"/>
          <w:szCs w:val="22"/>
          <w:shd w:val="clear" w:color="auto" w:fill="FFFFFF"/>
          <w:lang w:val="en-ID"/>
        </w:rPr>
        <w:t xml:space="preserve">the position of land far from the main road will limit the function of the land for activities or other activities (industry, trade, etc.), besides agricultural activities </w:t>
      </w:r>
      <w:r w:rsidR="000926EE">
        <w:rPr>
          <w:color w:val="222222"/>
          <w:sz w:val="22"/>
          <w:szCs w:val="22"/>
          <w:shd w:val="clear" w:color="auto" w:fill="FFFFFF"/>
          <w:lang w:val="en-ID"/>
        </w:rPr>
        <w:fldChar w:fldCharType="begin" w:fldLock="1"/>
      </w:r>
      <w:r w:rsidR="00D40FF7">
        <w:rPr>
          <w:color w:val="222222"/>
          <w:sz w:val="22"/>
          <w:szCs w:val="22"/>
          <w:shd w:val="clear" w:color="auto" w:fill="FFFFFF"/>
          <w:lang w:val="en-ID"/>
        </w:rPr>
        <w:instrText>ADDIN CSL_CITATION {"citationItems":[{"id":"ITEM-1","itemData":{"author":[{"dropping-particle":"","family":"Harini","given":"Rika","non-dropping-particle":"","parse-names":false,"suffix":""},{"dropping-particle":"","family":"Yunus","given":"Hadi Sabari","non-dropping-particle":"","parse-names":false,"suffix":""},{"dropping-particle":"","family":"Kasto","given":"","non-dropping-particle":"","parse-names":false,"suffix":""},{"dropping-particle":"","family":"Hartono","given":"Slamet","non-dropping-particle":"","parse-names":false,"suffix":""}],"container-title":"Indonesian Journal of Geography","id":"ITEM-1","issue":"2","issued":{"date-parts":[["2012"]]},"page":"120-133","title":"Agricultural land conversion: Determinants and impact for food sufficiency in Sleman Regency","type":"article-journal","volume":"44"},"uris":["http://www.mendeley.com/documents/?uuid=7ee398b8-b188-4675-8a8b-f2aa4c972b81"]}],"mendeley":{"formattedCitation":"(Harini, Yunus, Kasto, &amp; Hartono, 2012)","manualFormatting":"(Harini et al., 2012)","plainTextFormattedCitation":"(Harini, Yunus, Kasto, &amp; Hartono, 2012)","previouslyFormattedCitation":"(Harini, Yunus, Kasto, &amp; Hartono, 2012)"},"properties":{"noteIndex":0},"schema":"https://github.com/citation-style-language/schema/raw/master/csl-citation.json"}</w:instrText>
      </w:r>
      <w:r w:rsidR="000926EE">
        <w:rPr>
          <w:color w:val="222222"/>
          <w:sz w:val="22"/>
          <w:szCs w:val="22"/>
          <w:shd w:val="clear" w:color="auto" w:fill="FFFFFF"/>
          <w:lang w:val="en-ID"/>
        </w:rPr>
        <w:fldChar w:fldCharType="separate"/>
      </w:r>
      <w:r w:rsidR="000926EE">
        <w:rPr>
          <w:noProof/>
          <w:color w:val="222222"/>
          <w:sz w:val="22"/>
          <w:szCs w:val="22"/>
          <w:shd w:val="clear" w:color="auto" w:fill="FFFFFF"/>
          <w:lang w:val="en-ID"/>
        </w:rPr>
        <w:t>(Harini</w:t>
      </w:r>
      <w:r w:rsidR="000926EE" w:rsidRPr="000926EE">
        <w:rPr>
          <w:noProof/>
          <w:color w:val="222222"/>
          <w:sz w:val="22"/>
          <w:szCs w:val="22"/>
          <w:shd w:val="clear" w:color="auto" w:fill="FFFFFF"/>
          <w:lang w:val="en-ID"/>
        </w:rPr>
        <w:t xml:space="preserve"> </w:t>
      </w:r>
      <w:r w:rsidR="000926EE">
        <w:rPr>
          <w:i/>
          <w:noProof/>
          <w:color w:val="222222"/>
          <w:sz w:val="22"/>
          <w:szCs w:val="22"/>
          <w:shd w:val="clear" w:color="auto" w:fill="FFFFFF"/>
          <w:lang w:val="en-ID"/>
        </w:rPr>
        <w:t xml:space="preserve">et al., </w:t>
      </w:r>
      <w:r w:rsidR="000926EE" w:rsidRPr="000926EE">
        <w:rPr>
          <w:noProof/>
          <w:color w:val="222222"/>
          <w:sz w:val="22"/>
          <w:szCs w:val="22"/>
          <w:shd w:val="clear" w:color="auto" w:fill="FFFFFF"/>
          <w:lang w:val="en-ID"/>
        </w:rPr>
        <w:t>2012)</w:t>
      </w:r>
      <w:r w:rsidR="000926EE">
        <w:rPr>
          <w:color w:val="222222"/>
          <w:sz w:val="22"/>
          <w:szCs w:val="22"/>
          <w:shd w:val="clear" w:color="auto" w:fill="FFFFFF"/>
          <w:lang w:val="en-ID"/>
        </w:rPr>
        <w:fldChar w:fldCharType="end"/>
      </w:r>
      <w:r w:rsidR="004575E7" w:rsidRPr="00FD6193">
        <w:rPr>
          <w:color w:val="222222"/>
          <w:sz w:val="22"/>
          <w:szCs w:val="22"/>
          <w:shd w:val="clear" w:color="auto" w:fill="FFFFFF"/>
          <w:lang w:val="en-ID"/>
        </w:rPr>
        <w:t xml:space="preserve">. </w:t>
      </w:r>
    </w:p>
    <w:p w:rsidR="004575E7" w:rsidRDefault="00040C35"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Pr>
          <w:color w:val="222222"/>
          <w:sz w:val="22"/>
          <w:szCs w:val="22"/>
          <w:shd w:val="clear" w:color="auto" w:fill="FFFFFF"/>
          <w:lang w:val="en-ID"/>
        </w:rPr>
        <w:t>The</w:t>
      </w:r>
      <w:r w:rsidR="004575E7" w:rsidRPr="00FD6193">
        <w:rPr>
          <w:color w:val="222222"/>
          <w:sz w:val="22"/>
          <w:szCs w:val="22"/>
          <w:shd w:val="clear" w:color="auto" w:fill="FFFFFF"/>
          <w:lang w:val="en-ID"/>
        </w:rPr>
        <w:t xml:space="preserve"> farmers’ perception variable toward the agricultural land sustainability in the peri</w:t>
      </w:r>
      <w:r>
        <w:rPr>
          <w:color w:val="222222"/>
          <w:sz w:val="22"/>
          <w:szCs w:val="22"/>
          <w:shd w:val="clear" w:color="auto" w:fill="FFFFFF"/>
          <w:lang w:val="en-ID"/>
        </w:rPr>
        <w:t xml:space="preserve">-urban areas of Pekalongan City </w:t>
      </w:r>
      <w:r w:rsidR="004575E7" w:rsidRPr="00FD6193">
        <w:rPr>
          <w:color w:val="222222"/>
          <w:sz w:val="22"/>
          <w:szCs w:val="22"/>
          <w:shd w:val="clear" w:color="auto" w:fill="FFFFFF"/>
          <w:lang w:val="en-ID"/>
        </w:rPr>
        <w:t>has a significant effect on the farmers' decision to accept or reject the WTA.</w:t>
      </w:r>
      <w:r w:rsidR="00EA2186">
        <w:rPr>
          <w:color w:val="222222"/>
          <w:sz w:val="22"/>
          <w:szCs w:val="22"/>
          <w:shd w:val="clear" w:color="auto" w:fill="FFFFFF"/>
          <w:lang w:val="en-ID"/>
        </w:rPr>
        <w:t xml:space="preserve"> T</w:t>
      </w:r>
      <w:r w:rsidR="004575E7" w:rsidRPr="00FD6193">
        <w:rPr>
          <w:color w:val="222222"/>
          <w:sz w:val="22"/>
          <w:szCs w:val="22"/>
          <w:shd w:val="clear" w:color="auto" w:fill="FFFFFF"/>
          <w:lang w:val="en-ID"/>
        </w:rPr>
        <w:t>he regression coefficient of the farmers’ perception variable is 0.9185. The regression coefficient value is positive and is in accordance with the expected sign. The positive regression coefficient of farmers’ perception variable can be interpreted that an increase in farmers' perceptions of the agricultural land sustainability in the peri-urban areas of Pekalongan City can increase the chances of farmers not to receive compensation (WTA). This shows</w:t>
      </w:r>
      <w:r w:rsidR="00956498" w:rsidRPr="00FD6193">
        <w:rPr>
          <w:color w:val="222222"/>
          <w:sz w:val="22"/>
          <w:szCs w:val="22"/>
          <w:shd w:val="clear" w:color="auto" w:fill="FFFFFF"/>
          <w:lang w:val="en-ID"/>
        </w:rPr>
        <w:t xml:space="preserve"> that</w:t>
      </w:r>
      <w:r w:rsidR="004575E7" w:rsidRPr="00FD6193">
        <w:rPr>
          <w:color w:val="222222"/>
          <w:sz w:val="22"/>
          <w:szCs w:val="22"/>
          <w:shd w:val="clear" w:color="auto" w:fill="FFFFFF"/>
          <w:lang w:val="en-ID"/>
        </w:rPr>
        <w:t xml:space="preserve"> th</w:t>
      </w:r>
      <w:r w:rsidR="00956498" w:rsidRPr="00FD6193">
        <w:rPr>
          <w:color w:val="222222"/>
          <w:sz w:val="22"/>
          <w:szCs w:val="22"/>
          <w:shd w:val="clear" w:color="auto" w:fill="FFFFFF"/>
          <w:lang w:val="en-ID"/>
        </w:rPr>
        <w:t>e hig</w:t>
      </w:r>
      <w:r w:rsidR="001D080D">
        <w:rPr>
          <w:color w:val="222222"/>
          <w:sz w:val="22"/>
          <w:szCs w:val="22"/>
          <w:shd w:val="clear" w:color="auto" w:fill="FFFFFF"/>
          <w:lang w:val="en-ID"/>
        </w:rPr>
        <w:t>her perceptions of farmers mean</w:t>
      </w:r>
      <w:r w:rsidR="00956498" w:rsidRPr="00FD6193">
        <w:rPr>
          <w:color w:val="222222"/>
          <w:sz w:val="22"/>
          <w:szCs w:val="22"/>
          <w:shd w:val="clear" w:color="auto" w:fill="FFFFFF"/>
          <w:lang w:val="en-ID"/>
        </w:rPr>
        <w:t xml:space="preserve"> that</w:t>
      </w:r>
      <w:r w:rsidR="004575E7" w:rsidRPr="00FD6193">
        <w:rPr>
          <w:color w:val="222222"/>
          <w:sz w:val="22"/>
          <w:szCs w:val="22"/>
          <w:shd w:val="clear" w:color="auto" w:fill="FFFFFF"/>
          <w:lang w:val="en-ID"/>
        </w:rPr>
        <w:t xml:space="preserve"> farmers are willing to protect the agricultural land owned </w:t>
      </w:r>
      <w:r w:rsidR="00956498" w:rsidRPr="00FD6193">
        <w:rPr>
          <w:color w:val="222222"/>
          <w:sz w:val="22"/>
          <w:szCs w:val="22"/>
          <w:shd w:val="clear" w:color="auto" w:fill="FFFFFF"/>
          <w:lang w:val="en-ID"/>
        </w:rPr>
        <w:t>and managed voluntarily, so</w:t>
      </w:r>
      <w:r w:rsidR="004575E7" w:rsidRPr="00FD6193">
        <w:rPr>
          <w:color w:val="222222"/>
          <w:sz w:val="22"/>
          <w:szCs w:val="22"/>
          <w:shd w:val="clear" w:color="auto" w:fill="FFFFFF"/>
          <w:lang w:val="en-ID"/>
        </w:rPr>
        <w:t xml:space="preserve"> it can encourage the sustainability of agricultural land in the peri-urban areas of Pekalongan </w:t>
      </w:r>
      <w:r w:rsidR="004575E7" w:rsidRPr="00FD6193">
        <w:rPr>
          <w:color w:val="222222"/>
          <w:sz w:val="22"/>
          <w:szCs w:val="22"/>
          <w:shd w:val="clear" w:color="auto" w:fill="FFFFFF"/>
          <w:lang w:val="en-ID"/>
        </w:rPr>
        <w:lastRenderedPageBreak/>
        <w:t xml:space="preserve">City. Perception is defined as a person's assessment or view of various information or stimuli received from the surrounding environment </w:t>
      </w:r>
      <w:r w:rsidR="00D40FF7">
        <w:rPr>
          <w:color w:val="222222"/>
          <w:sz w:val="22"/>
          <w:szCs w:val="22"/>
          <w:shd w:val="clear" w:color="auto" w:fill="FFFFFF"/>
          <w:lang w:val="en-ID"/>
        </w:rPr>
        <w:fldChar w:fldCharType="begin" w:fldLock="1"/>
      </w:r>
      <w:r w:rsidR="007C662D">
        <w:rPr>
          <w:color w:val="222222"/>
          <w:sz w:val="22"/>
          <w:szCs w:val="22"/>
          <w:shd w:val="clear" w:color="auto" w:fill="FFFFFF"/>
          <w:lang w:val="en-ID"/>
        </w:rPr>
        <w:instrText>ADDIN CSL_CITATION {"citationItems":[{"id":"ITEM-1","itemData":{"DOI":"10.22146/jae.22691","ISSN":"0215-8787","abstract":"Research was conducted on theFacebook group Jogja Hydroponic Community, in order to know: 1) Characteristics of the Hi-Jo Community Facebook group members, 2) Level of perception of the Hi-Jo Community Facebook group members towards hydroponic development, and 3) Factors which affect the perception of the Hi-Jo Community Facebook group members towards hydroponic development. The method used in this research was descriptive method with survey techniques. Sampling was undertaken purposively on Facebook group, with random respondents. From the total sample of 7634 members, has been taken 52 people from Hi-Jo Community Facebook group. The analytical method used was the proportion test and multiple linear regression analysis. The research results showed that the characteristics of the Hi-Jo Community Facebook group members was balanced between men and women, the majority of main occupation was student, the majority of secondary occupation was student. The perception level of the Hi-Jo Community Facebook group members was categorized as high. Activeness, experience, and the role of the admin gave a positive effect to perception, whereas age, education and use of the products did not significantly affect the perception.","author":[{"dropping-particle":"","family":"Aulifia","given":"Aulifia","non-dropping-particle":"","parse-names":false,"suffix":""},{"dropping-particle":"","family":"Subejo","given":"Subejo","non-dropping-particle":"","parse-names":false,"suffix":""},{"dropping-particle":"","family":"Harsoyo","given":"Harsoyo","non-dropping-particle":"","parse-names":false,"suffix":""}],"container-title":"Agro Ekonomi","id":"ITEM-1","issue":"2","issued":{"date-parts":[["2016"]]},"page":"165-182","title":"Persepsi anggota grup Facebook “Komunitas Hidroponik Jogja (Hi-Jo)” terhadap pengembangan hidroponik","type":"article-journal","volume":"27"},"uris":["http://www.mendeley.com/documents/?uuid=67f54160-fa14-46ed-ac7c-bb22ef712a6f"]},{"id":"ITEM-2","itemData":{"DOI":"10.22146/jae.22700","ISSN":"0215-8787","abstract":"This research aim to know 1) the implementation of UPSUS PAJALE program in Yogyakarta Special District; 2) the perception rate of program adviser to implementation of UPSUS PAJALE program; and 3) the factors which affect to the perception of program adviser. The research used descriptive method. The sampling of location was chosen purposively, while the sampling of program adviser was taken by simple random sampling and total sample is 40 respondents. The data were analyzed with proportion test and multiple linier regression. The research results showed that the rate of program adviser perception to implementation UPSUS PAJALE program was in good category. Knowledge of program adviser positively affect to the perception. Factors that did not significantly influence to perception of program adviser were experience, motivation to work in agriculture, interaction with farmers, interaction with agricultural extention worker, and interaction with BABINSA (TNI).","author":[{"dropping-particle":"","family":"Faridhavin","given":"Urfan","non-dropping-particle":"","parse-names":false,"suffix":""},{"dropping-particle":"","family":"Witjaksono","given":"Roso","non-dropping-particle":"","parse-names":false,"suffix":""},{"dropping-particle":"","family":"Harsoyo","given":"Harsoyo","non-dropping-particle":"","parse-names":false,"suffix":""}],"container-title":"Agro Ekonomi","id":"ITEM-2","issue":"2","issued":{"date-parts":[["2016"]]},"page":"197-214","title":"Persepsi pendamping terhadap pelaksanaan Program Upsus Pajale di Daerah Istimewa Yogyakarta","type":"article-journal","volume":"27"},"uris":["http://www.mendeley.com/documents/?uuid=c0e8874f-edfa-4428-9c94-f03a11b5e8be"]}],"mendeley":{"formattedCitation":"(Aulifia, Subejo, &amp; Harsoyo, 2016; Faridhavin, Witjaksono, &amp; Harsoyo, 2016)","manualFormatting":"(Aulifia et al., 2016; Faridhavin et al., 2016)","plainTextFormattedCitation":"(Aulifia, Subejo, &amp; Harsoyo, 2016; Faridhavin, Witjaksono, &amp; Harsoyo, 2016)","previouslyFormattedCitation":"(Aulifia, Subejo, &amp; Harsoyo, 2016; Faridhavin, Witjaksono, &amp; Harsoyo, 2016)"},"properties":{"noteIndex":0},"schema":"https://github.com/citation-style-language/schema/raw/master/csl-citation.json"}</w:instrText>
      </w:r>
      <w:r w:rsidR="00D40FF7">
        <w:rPr>
          <w:color w:val="222222"/>
          <w:sz w:val="22"/>
          <w:szCs w:val="22"/>
          <w:shd w:val="clear" w:color="auto" w:fill="FFFFFF"/>
          <w:lang w:val="en-ID"/>
        </w:rPr>
        <w:fldChar w:fldCharType="separate"/>
      </w:r>
      <w:r w:rsidR="00D40FF7">
        <w:rPr>
          <w:noProof/>
          <w:color w:val="222222"/>
          <w:sz w:val="22"/>
          <w:szCs w:val="22"/>
          <w:shd w:val="clear" w:color="auto" w:fill="FFFFFF"/>
          <w:lang w:val="en-ID"/>
        </w:rPr>
        <w:t>(Aulifia</w:t>
      </w:r>
      <w:r w:rsidR="00D40FF7" w:rsidRPr="00D40FF7">
        <w:rPr>
          <w:noProof/>
          <w:color w:val="222222"/>
          <w:sz w:val="22"/>
          <w:szCs w:val="22"/>
          <w:shd w:val="clear" w:color="auto" w:fill="FFFFFF"/>
          <w:lang w:val="en-ID"/>
        </w:rPr>
        <w:t xml:space="preserve"> </w:t>
      </w:r>
      <w:r w:rsidR="00D40FF7">
        <w:rPr>
          <w:i/>
          <w:noProof/>
          <w:color w:val="222222"/>
          <w:sz w:val="22"/>
          <w:szCs w:val="22"/>
          <w:shd w:val="clear" w:color="auto" w:fill="FFFFFF"/>
          <w:lang w:val="en-ID"/>
        </w:rPr>
        <w:t>et al.</w:t>
      </w:r>
      <w:r w:rsidR="00D40FF7">
        <w:rPr>
          <w:noProof/>
          <w:color w:val="222222"/>
          <w:sz w:val="22"/>
          <w:szCs w:val="22"/>
          <w:shd w:val="clear" w:color="auto" w:fill="FFFFFF"/>
          <w:lang w:val="en-ID"/>
        </w:rPr>
        <w:t>, 2016; Faridhavin</w:t>
      </w:r>
      <w:r w:rsidR="00D40FF7" w:rsidRPr="00D40FF7">
        <w:rPr>
          <w:noProof/>
          <w:color w:val="222222"/>
          <w:sz w:val="22"/>
          <w:szCs w:val="22"/>
          <w:shd w:val="clear" w:color="auto" w:fill="FFFFFF"/>
          <w:lang w:val="en-ID"/>
        </w:rPr>
        <w:t xml:space="preserve"> </w:t>
      </w:r>
      <w:r w:rsidR="00D40FF7">
        <w:rPr>
          <w:i/>
          <w:noProof/>
          <w:color w:val="222222"/>
          <w:sz w:val="22"/>
          <w:szCs w:val="22"/>
          <w:shd w:val="clear" w:color="auto" w:fill="FFFFFF"/>
          <w:lang w:val="en-ID"/>
        </w:rPr>
        <w:t>et al.</w:t>
      </w:r>
      <w:r w:rsidR="00D40FF7" w:rsidRPr="00D40FF7">
        <w:rPr>
          <w:noProof/>
          <w:color w:val="222222"/>
          <w:sz w:val="22"/>
          <w:szCs w:val="22"/>
          <w:shd w:val="clear" w:color="auto" w:fill="FFFFFF"/>
          <w:lang w:val="en-ID"/>
        </w:rPr>
        <w:t>, 2016)</w:t>
      </w:r>
      <w:r w:rsidR="00D40FF7">
        <w:rPr>
          <w:color w:val="222222"/>
          <w:sz w:val="22"/>
          <w:szCs w:val="22"/>
          <w:shd w:val="clear" w:color="auto" w:fill="FFFFFF"/>
          <w:lang w:val="en-ID"/>
        </w:rPr>
        <w:fldChar w:fldCharType="end"/>
      </w:r>
      <w:r w:rsidR="004575E7" w:rsidRPr="00FD6193">
        <w:rPr>
          <w:color w:val="222222"/>
          <w:sz w:val="22"/>
          <w:szCs w:val="22"/>
          <w:shd w:val="clear" w:color="auto" w:fill="FFFFFF"/>
          <w:lang w:val="en-ID"/>
        </w:rPr>
        <w:t>. The higher perceptions of farmers indicate that farmers' views are increasingly positive towards the sustainability of agricultural land in the peri-urban areas of Pekalongan City. Therefore, the increase in farmers' perceptions will increase the agricultural land sustainability in the peri-urban areas of Pekalongan City.</w:t>
      </w:r>
    </w:p>
    <w:p w:rsidR="00D40FF7" w:rsidRPr="00FD6193" w:rsidRDefault="00D40FF7"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p>
    <w:p w:rsidR="004575E7" w:rsidRPr="00D40FF7" w:rsidRDefault="004575E7" w:rsidP="001841D7">
      <w:pPr>
        <w:widowControl w:val="0"/>
        <w:autoSpaceDE w:val="0"/>
        <w:autoSpaceDN w:val="0"/>
        <w:adjustRightInd w:val="0"/>
        <w:spacing w:line="276" w:lineRule="auto"/>
        <w:ind w:right="-32"/>
        <w:jc w:val="both"/>
        <w:rPr>
          <w:b/>
          <w:color w:val="222222"/>
          <w:sz w:val="22"/>
          <w:szCs w:val="22"/>
          <w:shd w:val="clear" w:color="auto" w:fill="FFFFFF"/>
          <w:lang w:val="en-ID"/>
        </w:rPr>
      </w:pPr>
      <w:r w:rsidRPr="00D40FF7">
        <w:rPr>
          <w:b/>
          <w:color w:val="222222"/>
          <w:sz w:val="22"/>
          <w:szCs w:val="22"/>
          <w:shd w:val="clear" w:color="auto" w:fill="FFFFFF"/>
          <w:lang w:val="en-ID"/>
        </w:rPr>
        <w:t xml:space="preserve">Factors Affecting Farmers’ Willingness to Accept (WTA) Values to Protect Agricultural Land in </w:t>
      </w:r>
      <w:r w:rsidR="00894D26" w:rsidRPr="00D40FF7">
        <w:rPr>
          <w:b/>
          <w:color w:val="222222"/>
          <w:sz w:val="22"/>
          <w:szCs w:val="22"/>
          <w:shd w:val="clear" w:color="auto" w:fill="FFFFFF"/>
          <w:lang w:val="en-ID"/>
        </w:rPr>
        <w:t>the</w:t>
      </w:r>
      <w:r w:rsidRPr="00D40FF7">
        <w:rPr>
          <w:b/>
          <w:color w:val="222222"/>
          <w:sz w:val="22"/>
          <w:szCs w:val="22"/>
          <w:shd w:val="clear" w:color="auto" w:fill="FFFFFF"/>
          <w:lang w:val="en-ID"/>
        </w:rPr>
        <w:t xml:space="preserve"> Peri-Urban Areas of Pekalongan City</w:t>
      </w:r>
    </w:p>
    <w:p w:rsidR="004575E7" w:rsidRDefault="004575E7"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 xml:space="preserve">The second stage of Heckman's two-stage model is to </w:t>
      </w:r>
      <w:r w:rsidR="008F699B" w:rsidRPr="00FD6193">
        <w:rPr>
          <w:color w:val="222222"/>
          <w:sz w:val="22"/>
          <w:szCs w:val="22"/>
          <w:shd w:val="clear" w:color="auto" w:fill="FFFFFF"/>
          <w:lang w:val="en-ID"/>
        </w:rPr>
        <w:t>re-</w:t>
      </w:r>
      <w:r w:rsidRPr="00FD6193">
        <w:rPr>
          <w:color w:val="222222"/>
          <w:sz w:val="22"/>
          <w:szCs w:val="22"/>
          <w:shd w:val="clear" w:color="auto" w:fill="FFFFFF"/>
          <w:lang w:val="en-ID"/>
        </w:rPr>
        <w:t>regress using the multiple linear regression model using the ordinary least square (OLS) method. In this model, the inverse mills ratio (IMR) is added to the model as a proxy for the probability of farmers accepting or rejecting compensation in probit regression models (table 3). The results of the analysis of factors that influence the willingness to accept (WTA) value of farmers to protect</w:t>
      </w:r>
      <w:r w:rsidR="008F699B" w:rsidRPr="00FD6193">
        <w:rPr>
          <w:color w:val="222222"/>
          <w:sz w:val="22"/>
          <w:szCs w:val="22"/>
          <w:shd w:val="clear" w:color="auto" w:fill="FFFFFF"/>
          <w:lang w:val="en-ID"/>
        </w:rPr>
        <w:t xml:space="preserve"> the</w:t>
      </w:r>
      <w:r w:rsidRPr="00FD6193">
        <w:rPr>
          <w:color w:val="222222"/>
          <w:sz w:val="22"/>
          <w:szCs w:val="22"/>
          <w:shd w:val="clear" w:color="auto" w:fill="FFFFFF"/>
          <w:lang w:val="en-ID"/>
        </w:rPr>
        <w:t xml:space="preserve"> agricultural land in the peri-urban of Pekalongan City can be seen in table 4.</w:t>
      </w:r>
    </w:p>
    <w:p w:rsidR="000F27CA" w:rsidRDefault="000F27CA" w:rsidP="001841D7">
      <w:pPr>
        <w:spacing w:line="276" w:lineRule="auto"/>
        <w:jc w:val="both"/>
        <w:rPr>
          <w:b/>
          <w:sz w:val="22"/>
          <w:szCs w:val="22"/>
        </w:rPr>
        <w:sectPr w:rsidR="000F27CA" w:rsidSect="001841D7">
          <w:type w:val="continuous"/>
          <w:pgSz w:w="11907" w:h="16840" w:code="9"/>
          <w:pgMar w:top="2268" w:right="1701" w:bottom="1701" w:left="2268" w:header="720" w:footer="720" w:gutter="0"/>
          <w:cols w:space="562"/>
          <w:docGrid w:linePitch="360"/>
        </w:sectPr>
      </w:pPr>
    </w:p>
    <w:p w:rsidR="000F27CA" w:rsidRDefault="000F27CA" w:rsidP="001841D7">
      <w:pPr>
        <w:spacing w:line="276" w:lineRule="auto"/>
        <w:jc w:val="both"/>
        <w:rPr>
          <w:b/>
          <w:sz w:val="22"/>
          <w:szCs w:val="22"/>
        </w:rPr>
      </w:pPr>
    </w:p>
    <w:p w:rsidR="007C662D" w:rsidRPr="007C662D" w:rsidRDefault="007C662D" w:rsidP="001841D7">
      <w:pPr>
        <w:spacing w:line="276" w:lineRule="auto"/>
        <w:jc w:val="both"/>
        <w:rPr>
          <w:sz w:val="22"/>
          <w:szCs w:val="22"/>
        </w:rPr>
      </w:pPr>
      <w:r w:rsidRPr="007C662D">
        <w:rPr>
          <w:b/>
          <w:sz w:val="22"/>
          <w:szCs w:val="22"/>
        </w:rPr>
        <w:t xml:space="preserve">Table 4. </w:t>
      </w:r>
      <w:r w:rsidRPr="007C662D">
        <w:rPr>
          <w:sz w:val="22"/>
          <w:szCs w:val="22"/>
        </w:rPr>
        <w:t>Factors Affecting Farmers' Willingness to Accept (WTA) Values to Protect Agricultural Land in The Peri-Urban Areas of Pekalongan City</w:t>
      </w:r>
    </w:p>
    <w:tbl>
      <w:tblPr>
        <w:tblW w:w="5000" w:type="pct"/>
        <w:tblBorders>
          <w:top w:val="single" w:sz="4" w:space="0" w:color="auto"/>
          <w:bottom w:val="single" w:sz="4" w:space="0" w:color="auto"/>
        </w:tblBorders>
        <w:tblLook w:val="04A0" w:firstRow="1" w:lastRow="0" w:firstColumn="1" w:lastColumn="0" w:noHBand="0" w:noVBand="1"/>
      </w:tblPr>
      <w:tblGrid>
        <w:gridCol w:w="2512"/>
        <w:gridCol w:w="1493"/>
        <w:gridCol w:w="1338"/>
        <w:gridCol w:w="1281"/>
        <w:gridCol w:w="1530"/>
      </w:tblGrid>
      <w:tr w:rsidR="007C662D" w:rsidRPr="007C662D" w:rsidTr="00E60569">
        <w:trPr>
          <w:trHeight w:val="300"/>
        </w:trPr>
        <w:tc>
          <w:tcPr>
            <w:tcW w:w="1605" w:type="pct"/>
            <w:tcBorders>
              <w:top w:val="single" w:sz="4" w:space="0" w:color="auto"/>
              <w:bottom w:val="single" w:sz="4" w:space="0" w:color="auto"/>
            </w:tcBorders>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eastAsia="en-ID"/>
              </w:rPr>
              <w:t>Independen</w:t>
            </w:r>
            <w:r w:rsidRPr="007C662D">
              <w:rPr>
                <w:color w:val="000000"/>
                <w:sz w:val="22"/>
                <w:szCs w:val="22"/>
                <w:lang w:val="en-ID" w:eastAsia="en-ID"/>
              </w:rPr>
              <w:t xml:space="preserve"> </w:t>
            </w:r>
            <w:r w:rsidRPr="007C662D">
              <w:rPr>
                <w:color w:val="000000"/>
                <w:sz w:val="22"/>
                <w:szCs w:val="22"/>
                <w:lang w:eastAsia="en-ID"/>
              </w:rPr>
              <w:t>Variables</w:t>
            </w:r>
          </w:p>
        </w:tc>
        <w:tc>
          <w:tcPr>
            <w:tcW w:w="860" w:type="pct"/>
            <w:tcBorders>
              <w:top w:val="single" w:sz="4" w:space="0" w:color="auto"/>
              <w:bottom w:val="single" w:sz="4" w:space="0" w:color="auto"/>
            </w:tcBorders>
            <w:shd w:val="clear" w:color="auto" w:fill="auto"/>
            <w:noWrap/>
            <w:vAlign w:val="center"/>
            <w:hideMark/>
          </w:tcPr>
          <w:p w:rsidR="007C662D" w:rsidRPr="007C662D" w:rsidRDefault="007C662D" w:rsidP="001841D7">
            <w:pPr>
              <w:jc w:val="center"/>
              <w:rPr>
                <w:color w:val="000000"/>
                <w:sz w:val="22"/>
                <w:szCs w:val="22"/>
                <w:lang w:val="en-ID" w:eastAsia="en-ID"/>
              </w:rPr>
            </w:pPr>
            <w:r w:rsidRPr="007C662D">
              <w:rPr>
                <w:color w:val="000000"/>
                <w:sz w:val="22"/>
                <w:szCs w:val="22"/>
                <w:lang w:val="en-ID" w:eastAsia="en-ID"/>
              </w:rPr>
              <w:t>Expected Sign</w:t>
            </w:r>
          </w:p>
        </w:tc>
        <w:tc>
          <w:tcPr>
            <w:tcW w:w="884" w:type="pct"/>
            <w:tcBorders>
              <w:top w:val="single" w:sz="4" w:space="0" w:color="auto"/>
              <w:bottom w:val="single" w:sz="4" w:space="0" w:color="auto"/>
            </w:tcBorders>
            <w:shd w:val="clear" w:color="auto" w:fill="auto"/>
            <w:noWrap/>
            <w:vAlign w:val="center"/>
            <w:hideMark/>
          </w:tcPr>
          <w:p w:rsidR="007C662D" w:rsidRPr="007C662D" w:rsidRDefault="007C662D" w:rsidP="001841D7">
            <w:pPr>
              <w:jc w:val="right"/>
              <w:rPr>
                <w:color w:val="000000"/>
                <w:sz w:val="22"/>
                <w:szCs w:val="22"/>
                <w:lang w:val="en-ID" w:eastAsia="en-ID"/>
              </w:rPr>
            </w:pPr>
            <w:r w:rsidRPr="007C662D">
              <w:rPr>
                <w:color w:val="000000"/>
                <w:sz w:val="22"/>
                <w:szCs w:val="22"/>
                <w:lang w:val="en-ID" w:eastAsia="en-ID"/>
              </w:rPr>
              <w:t>Coefficient</w:t>
            </w:r>
          </w:p>
        </w:tc>
        <w:tc>
          <w:tcPr>
            <w:tcW w:w="849" w:type="pct"/>
            <w:tcBorders>
              <w:top w:val="single" w:sz="4" w:space="0" w:color="auto"/>
              <w:bottom w:val="single" w:sz="4" w:space="0" w:color="auto"/>
            </w:tcBorders>
            <w:shd w:val="clear" w:color="auto" w:fill="auto"/>
            <w:noWrap/>
            <w:vAlign w:val="center"/>
            <w:hideMark/>
          </w:tcPr>
          <w:p w:rsidR="007C662D" w:rsidRPr="007C662D" w:rsidRDefault="007C662D" w:rsidP="001841D7">
            <w:pPr>
              <w:jc w:val="right"/>
              <w:rPr>
                <w:color w:val="000000"/>
                <w:sz w:val="22"/>
                <w:szCs w:val="22"/>
                <w:lang w:val="en-ID" w:eastAsia="en-ID"/>
              </w:rPr>
            </w:pPr>
            <w:r w:rsidRPr="007C662D">
              <w:rPr>
                <w:color w:val="000000"/>
                <w:sz w:val="22"/>
                <w:szCs w:val="22"/>
                <w:lang w:val="en-ID" w:eastAsia="en-ID"/>
              </w:rPr>
              <w:t>t statistic</w:t>
            </w:r>
          </w:p>
        </w:tc>
        <w:tc>
          <w:tcPr>
            <w:tcW w:w="802" w:type="pct"/>
            <w:tcBorders>
              <w:top w:val="single" w:sz="4" w:space="0" w:color="auto"/>
              <w:bottom w:val="single" w:sz="4" w:space="0" w:color="auto"/>
            </w:tcBorders>
            <w:shd w:val="clear" w:color="auto" w:fill="auto"/>
            <w:noWrap/>
            <w:vAlign w:val="center"/>
            <w:hideMark/>
          </w:tcPr>
          <w:p w:rsidR="007C662D" w:rsidRPr="007C662D" w:rsidRDefault="007C662D" w:rsidP="001841D7">
            <w:pPr>
              <w:jc w:val="right"/>
              <w:rPr>
                <w:color w:val="000000"/>
                <w:sz w:val="22"/>
                <w:szCs w:val="22"/>
                <w:lang w:val="en-ID" w:eastAsia="en-ID"/>
              </w:rPr>
            </w:pPr>
            <w:r w:rsidRPr="007C662D">
              <w:rPr>
                <w:color w:val="000000"/>
                <w:sz w:val="22"/>
                <w:szCs w:val="22"/>
                <w:lang w:val="en-ID" w:eastAsia="en-ID"/>
              </w:rPr>
              <w:t>Prob. t statistic</w:t>
            </w:r>
          </w:p>
        </w:tc>
      </w:tr>
      <w:tr w:rsidR="007C662D" w:rsidRPr="007C662D" w:rsidTr="00E60569">
        <w:trPr>
          <w:trHeight w:val="90"/>
        </w:trPr>
        <w:tc>
          <w:tcPr>
            <w:tcW w:w="1605" w:type="pct"/>
            <w:tcBorders>
              <w:top w:val="single" w:sz="4" w:space="0" w:color="auto"/>
            </w:tcBorders>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val="en-ID" w:eastAsia="en-ID"/>
              </w:rPr>
              <w:t>Farm income</w:t>
            </w:r>
          </w:p>
        </w:tc>
        <w:tc>
          <w:tcPr>
            <w:tcW w:w="860" w:type="pct"/>
            <w:tcBorders>
              <w:top w:val="single" w:sz="4" w:space="0" w:color="auto"/>
            </w:tcBorders>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tcBorders>
              <w:top w:val="single" w:sz="4" w:space="0" w:color="auto"/>
            </w:tcBorders>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0.6121</w:t>
            </w:r>
            <w:r w:rsidRPr="007C662D">
              <w:rPr>
                <w:color w:val="000000"/>
                <w:sz w:val="22"/>
                <w:szCs w:val="22"/>
                <w:vertAlign w:val="superscript"/>
                <w:lang w:eastAsia="en-ID"/>
              </w:rPr>
              <w:t>***</w:t>
            </w:r>
          </w:p>
        </w:tc>
        <w:tc>
          <w:tcPr>
            <w:tcW w:w="849" w:type="pct"/>
            <w:tcBorders>
              <w:top w:val="single" w:sz="4" w:space="0" w:color="auto"/>
            </w:tcBorders>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6.6298</w:t>
            </w:r>
          </w:p>
        </w:tc>
        <w:tc>
          <w:tcPr>
            <w:tcW w:w="802" w:type="pct"/>
            <w:tcBorders>
              <w:top w:val="single" w:sz="4" w:space="0" w:color="auto"/>
            </w:tcBorders>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0.0000</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val="en-ID" w:eastAsia="en-ID"/>
              </w:rPr>
              <w:t>Non-farm income</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0.0146</w:t>
            </w:r>
            <w:r>
              <w:rPr>
                <w:color w:val="000000"/>
                <w:sz w:val="22"/>
                <w:szCs w:val="22"/>
                <w:vertAlign w:val="superscript"/>
                <w:lang w:eastAsia="en-ID"/>
              </w:rPr>
              <w:t>ns</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0.0931</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0.9266</w:t>
            </w:r>
          </w:p>
        </w:tc>
      </w:tr>
      <w:tr w:rsidR="007C662D" w:rsidRPr="007C662D" w:rsidTr="00E60569">
        <w:trPr>
          <w:trHeight w:val="300"/>
        </w:trPr>
        <w:tc>
          <w:tcPr>
            <w:tcW w:w="1605" w:type="pct"/>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val="en-ID" w:eastAsia="en-ID"/>
              </w:rPr>
              <w:t>Distance</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-3,672,972</w:t>
            </w:r>
            <w:r>
              <w:rPr>
                <w:color w:val="000000"/>
                <w:sz w:val="22"/>
                <w:szCs w:val="22"/>
                <w:vertAlign w:val="superscript"/>
                <w:lang w:eastAsia="en-ID"/>
              </w:rPr>
              <w:t>ns</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-0.3758</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0.7102</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val="en-ID" w:eastAsia="en-ID"/>
              </w:rPr>
              <w:t>Family burden</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3,064.0</w:t>
            </w:r>
            <w:r>
              <w:rPr>
                <w:color w:val="000000"/>
                <w:sz w:val="22"/>
                <w:szCs w:val="22"/>
                <w:vertAlign w:val="superscript"/>
                <w:lang w:eastAsia="en-ID"/>
              </w:rPr>
              <w:t>ns</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0.1864</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0.8537</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Perception</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-1,118,122</w:t>
            </w:r>
            <w:r>
              <w:rPr>
                <w:color w:val="000000"/>
                <w:sz w:val="22"/>
                <w:szCs w:val="22"/>
                <w:vertAlign w:val="superscript"/>
                <w:lang w:eastAsia="en-ID"/>
              </w:rPr>
              <w:t>ns</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-0.1043</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0.9178</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val="en-ID" w:eastAsia="en-ID"/>
              </w:rPr>
            </w:pPr>
            <w:r w:rsidRPr="007C662D">
              <w:rPr>
                <w:color w:val="000000"/>
                <w:sz w:val="22"/>
                <w:szCs w:val="22"/>
                <w:lang w:val="en-ID" w:eastAsia="en-ID"/>
              </w:rPr>
              <w:t>Farming experience</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-70,374</w:t>
            </w:r>
            <w:r w:rsidRPr="007C662D">
              <w:rPr>
                <w:color w:val="000000"/>
                <w:sz w:val="22"/>
                <w:szCs w:val="22"/>
                <w:vertAlign w:val="superscript"/>
                <w:lang w:eastAsia="en-ID"/>
              </w:rPr>
              <w:t>*</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-1.7099</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0.0997</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Inverse mills ratio (IMR)</w:t>
            </w:r>
          </w:p>
        </w:tc>
        <w:tc>
          <w:tcPr>
            <w:tcW w:w="860" w:type="pct"/>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shd w:val="clear" w:color="auto" w:fill="auto"/>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-6,655,032</w:t>
            </w:r>
            <w:r>
              <w:rPr>
                <w:color w:val="000000"/>
                <w:sz w:val="22"/>
                <w:szCs w:val="22"/>
                <w:vertAlign w:val="superscript"/>
                <w:lang w:eastAsia="en-ID"/>
              </w:rPr>
              <w:t>ns</w:t>
            </w:r>
          </w:p>
        </w:tc>
        <w:tc>
          <w:tcPr>
            <w:tcW w:w="849"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-0.3276</w:t>
            </w: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0.7460</w:t>
            </w:r>
          </w:p>
        </w:tc>
      </w:tr>
      <w:tr w:rsidR="007C662D" w:rsidRPr="007C662D" w:rsidTr="00E60569">
        <w:trPr>
          <w:trHeight w:val="80"/>
        </w:trPr>
        <w:tc>
          <w:tcPr>
            <w:tcW w:w="1605" w:type="pct"/>
            <w:tcBorders>
              <w:bottom w:val="single" w:sz="4" w:space="0" w:color="auto"/>
            </w:tcBorders>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Constanta</w:t>
            </w:r>
          </w:p>
        </w:tc>
        <w:tc>
          <w:tcPr>
            <w:tcW w:w="860" w:type="pct"/>
            <w:tcBorders>
              <w:bottom w:val="single" w:sz="4" w:space="0" w:color="auto"/>
            </w:tcBorders>
            <w:shd w:val="clear" w:color="auto" w:fill="auto"/>
            <w:noWrap/>
            <w:vAlign w:val="center"/>
            <w:hideMark/>
          </w:tcPr>
          <w:p w:rsidR="007C662D" w:rsidRPr="007C662D" w:rsidRDefault="007C662D" w:rsidP="001841D7">
            <w:pPr>
              <w:jc w:val="center"/>
              <w:rPr>
                <w:color w:val="000000"/>
                <w:sz w:val="22"/>
                <w:szCs w:val="22"/>
                <w:lang w:eastAsia="en-ID"/>
              </w:rPr>
            </w:pPr>
            <w:r w:rsidRPr="007C662D">
              <w:rPr>
                <w:color w:val="000000"/>
                <w:sz w:val="22"/>
                <w:szCs w:val="22"/>
                <w:lang w:eastAsia="en-ID"/>
              </w:rPr>
              <w:t>+/-</w:t>
            </w:r>
          </w:p>
        </w:tc>
        <w:tc>
          <w:tcPr>
            <w:tcW w:w="884" w:type="pct"/>
            <w:tcBorders>
              <w:bottom w:val="single" w:sz="4" w:space="0" w:color="auto"/>
            </w:tcBorders>
            <w:shd w:val="clear" w:color="auto" w:fill="auto"/>
            <w:noWrap/>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5,119,521</w:t>
            </w:r>
            <w:r>
              <w:rPr>
                <w:color w:val="000000"/>
                <w:sz w:val="22"/>
                <w:szCs w:val="22"/>
                <w:vertAlign w:val="superscript"/>
                <w:lang w:eastAsia="en-ID"/>
              </w:rPr>
              <w:t>ns</w:t>
            </w:r>
          </w:p>
        </w:tc>
        <w:tc>
          <w:tcPr>
            <w:tcW w:w="849" w:type="pct"/>
            <w:tcBorders>
              <w:bottom w:val="single" w:sz="4" w:space="0" w:color="auto"/>
            </w:tcBorders>
            <w:shd w:val="clear" w:color="auto" w:fill="auto"/>
            <w:noWrap/>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0.3443</w:t>
            </w:r>
          </w:p>
        </w:tc>
        <w:tc>
          <w:tcPr>
            <w:tcW w:w="802" w:type="pct"/>
            <w:tcBorders>
              <w:bottom w:val="single" w:sz="4" w:space="0" w:color="auto"/>
            </w:tcBorders>
            <w:shd w:val="clear" w:color="auto" w:fill="auto"/>
            <w:noWrap/>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0.7335</w:t>
            </w:r>
          </w:p>
        </w:tc>
      </w:tr>
      <w:tr w:rsidR="007C662D" w:rsidRPr="007C662D" w:rsidTr="00E60569">
        <w:trPr>
          <w:trHeight w:val="70"/>
        </w:trPr>
        <w:tc>
          <w:tcPr>
            <w:tcW w:w="1605" w:type="pct"/>
            <w:tcBorders>
              <w:top w:val="single" w:sz="4" w:space="0" w:color="auto"/>
              <w:bottom w:val="nil"/>
            </w:tcBorders>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R</w:t>
            </w:r>
            <w:r w:rsidRPr="007C662D">
              <w:rPr>
                <w:color w:val="000000"/>
                <w:sz w:val="22"/>
                <w:szCs w:val="22"/>
                <w:vertAlign w:val="superscript"/>
                <w:lang w:eastAsia="en-ID"/>
              </w:rPr>
              <w:t>2</w:t>
            </w:r>
          </w:p>
        </w:tc>
        <w:tc>
          <w:tcPr>
            <w:tcW w:w="860" w:type="pct"/>
            <w:tcBorders>
              <w:top w:val="single" w:sz="4" w:space="0" w:color="auto"/>
              <w:bottom w:val="nil"/>
            </w:tcBorders>
            <w:shd w:val="clear" w:color="auto" w:fill="auto"/>
            <w:noWrap/>
            <w:vAlign w:val="center"/>
            <w:hideMark/>
          </w:tcPr>
          <w:p w:rsidR="007C662D" w:rsidRPr="007C662D" w:rsidRDefault="007C662D" w:rsidP="001841D7">
            <w:pPr>
              <w:rPr>
                <w:color w:val="000000"/>
                <w:sz w:val="22"/>
                <w:szCs w:val="22"/>
                <w:lang w:eastAsia="en-ID"/>
              </w:rPr>
            </w:pPr>
          </w:p>
        </w:tc>
        <w:tc>
          <w:tcPr>
            <w:tcW w:w="884" w:type="pct"/>
            <w:tcBorders>
              <w:top w:val="single" w:sz="4" w:space="0" w:color="auto"/>
              <w:bottom w:val="nil"/>
            </w:tcBorders>
            <w:shd w:val="clear" w:color="auto" w:fill="auto"/>
            <w:noWrap/>
            <w:vAlign w:val="center"/>
            <w:hideMark/>
          </w:tcPr>
          <w:p w:rsidR="007C662D" w:rsidRPr="007C662D" w:rsidRDefault="007C662D" w:rsidP="001841D7">
            <w:pPr>
              <w:jc w:val="right"/>
              <w:rPr>
                <w:sz w:val="22"/>
                <w:szCs w:val="22"/>
                <w:lang w:eastAsia="en-ID"/>
              </w:rPr>
            </w:pPr>
          </w:p>
        </w:tc>
        <w:tc>
          <w:tcPr>
            <w:tcW w:w="849" w:type="pct"/>
            <w:tcBorders>
              <w:top w:val="single" w:sz="4" w:space="0" w:color="auto"/>
              <w:bottom w:val="nil"/>
            </w:tcBorders>
            <w:shd w:val="clear" w:color="auto" w:fill="auto"/>
            <w:noWrap/>
            <w:vAlign w:val="center"/>
            <w:hideMark/>
          </w:tcPr>
          <w:p w:rsidR="007C662D" w:rsidRPr="007C662D" w:rsidRDefault="007C662D" w:rsidP="001841D7">
            <w:pPr>
              <w:jc w:val="right"/>
              <w:rPr>
                <w:sz w:val="22"/>
                <w:szCs w:val="22"/>
                <w:lang w:eastAsia="en-ID"/>
              </w:rPr>
            </w:pPr>
          </w:p>
        </w:tc>
        <w:tc>
          <w:tcPr>
            <w:tcW w:w="802" w:type="pct"/>
            <w:tcBorders>
              <w:top w:val="single" w:sz="4" w:space="0" w:color="auto"/>
              <w:bottom w:val="nil"/>
            </w:tcBorders>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0.8505</w:t>
            </w:r>
          </w:p>
        </w:tc>
      </w:tr>
      <w:tr w:rsidR="007C662D" w:rsidRPr="007C662D" w:rsidTr="00E60569">
        <w:trPr>
          <w:trHeight w:val="80"/>
        </w:trPr>
        <w:tc>
          <w:tcPr>
            <w:tcW w:w="1605" w:type="pct"/>
            <w:tcBorders>
              <w:top w:val="nil"/>
            </w:tcBorders>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Adjusted R</w:t>
            </w:r>
            <w:r w:rsidRPr="007C662D">
              <w:rPr>
                <w:color w:val="000000"/>
                <w:sz w:val="22"/>
                <w:szCs w:val="22"/>
                <w:vertAlign w:val="superscript"/>
                <w:lang w:eastAsia="en-ID"/>
              </w:rPr>
              <w:t>2</w:t>
            </w:r>
          </w:p>
        </w:tc>
        <w:tc>
          <w:tcPr>
            <w:tcW w:w="860" w:type="pct"/>
            <w:tcBorders>
              <w:top w:val="nil"/>
            </w:tcBorders>
            <w:shd w:val="clear" w:color="auto" w:fill="auto"/>
            <w:noWrap/>
            <w:vAlign w:val="center"/>
            <w:hideMark/>
          </w:tcPr>
          <w:p w:rsidR="007C662D" w:rsidRPr="007C662D" w:rsidRDefault="007C662D" w:rsidP="001841D7">
            <w:pPr>
              <w:rPr>
                <w:color w:val="000000"/>
                <w:sz w:val="22"/>
                <w:szCs w:val="22"/>
                <w:lang w:eastAsia="en-ID"/>
              </w:rPr>
            </w:pPr>
          </w:p>
        </w:tc>
        <w:tc>
          <w:tcPr>
            <w:tcW w:w="884" w:type="pct"/>
            <w:tcBorders>
              <w:top w:val="nil"/>
            </w:tcBorders>
            <w:shd w:val="clear" w:color="auto" w:fill="auto"/>
            <w:noWrap/>
            <w:vAlign w:val="center"/>
            <w:hideMark/>
          </w:tcPr>
          <w:p w:rsidR="007C662D" w:rsidRPr="007C662D" w:rsidRDefault="007C662D" w:rsidP="001841D7">
            <w:pPr>
              <w:jc w:val="right"/>
              <w:rPr>
                <w:sz w:val="22"/>
                <w:szCs w:val="22"/>
                <w:lang w:eastAsia="en-ID"/>
              </w:rPr>
            </w:pPr>
          </w:p>
        </w:tc>
        <w:tc>
          <w:tcPr>
            <w:tcW w:w="849" w:type="pct"/>
            <w:tcBorders>
              <w:top w:val="nil"/>
            </w:tcBorders>
            <w:shd w:val="clear" w:color="auto" w:fill="auto"/>
            <w:noWrap/>
            <w:vAlign w:val="center"/>
            <w:hideMark/>
          </w:tcPr>
          <w:p w:rsidR="007C662D" w:rsidRPr="007C662D" w:rsidRDefault="007C662D" w:rsidP="001841D7">
            <w:pPr>
              <w:jc w:val="right"/>
              <w:rPr>
                <w:sz w:val="22"/>
                <w:szCs w:val="22"/>
                <w:lang w:eastAsia="en-ID"/>
              </w:rPr>
            </w:pPr>
          </w:p>
        </w:tc>
        <w:tc>
          <w:tcPr>
            <w:tcW w:w="802" w:type="pct"/>
            <w:tcBorders>
              <w:top w:val="nil"/>
            </w:tcBorders>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0.8087</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F statistic</w:t>
            </w:r>
          </w:p>
        </w:tc>
        <w:tc>
          <w:tcPr>
            <w:tcW w:w="860" w:type="pct"/>
            <w:shd w:val="clear" w:color="auto" w:fill="auto"/>
            <w:noWrap/>
            <w:vAlign w:val="center"/>
            <w:hideMark/>
          </w:tcPr>
          <w:p w:rsidR="007C662D" w:rsidRPr="007C662D" w:rsidRDefault="007C662D" w:rsidP="001841D7">
            <w:pPr>
              <w:rPr>
                <w:color w:val="000000"/>
                <w:sz w:val="22"/>
                <w:szCs w:val="22"/>
                <w:lang w:eastAsia="en-ID"/>
              </w:rPr>
            </w:pPr>
          </w:p>
        </w:tc>
        <w:tc>
          <w:tcPr>
            <w:tcW w:w="884" w:type="pct"/>
            <w:shd w:val="clear" w:color="auto" w:fill="auto"/>
            <w:noWrap/>
            <w:vAlign w:val="center"/>
            <w:hideMark/>
          </w:tcPr>
          <w:p w:rsidR="007C662D" w:rsidRPr="007C662D" w:rsidRDefault="007C662D" w:rsidP="001841D7">
            <w:pPr>
              <w:jc w:val="right"/>
              <w:rPr>
                <w:sz w:val="22"/>
                <w:szCs w:val="22"/>
                <w:lang w:eastAsia="en-ID"/>
              </w:rPr>
            </w:pPr>
          </w:p>
        </w:tc>
        <w:tc>
          <w:tcPr>
            <w:tcW w:w="849" w:type="pct"/>
            <w:shd w:val="clear" w:color="auto" w:fill="auto"/>
            <w:noWrap/>
            <w:vAlign w:val="center"/>
            <w:hideMark/>
          </w:tcPr>
          <w:p w:rsidR="007C662D" w:rsidRPr="007C662D" w:rsidRDefault="007C662D" w:rsidP="001841D7">
            <w:pPr>
              <w:jc w:val="right"/>
              <w:rPr>
                <w:sz w:val="22"/>
                <w:szCs w:val="22"/>
                <w:lang w:eastAsia="en-ID"/>
              </w:rPr>
            </w:pPr>
          </w:p>
        </w:tc>
        <w:tc>
          <w:tcPr>
            <w:tcW w:w="802" w:type="pct"/>
            <w:shd w:val="clear" w:color="auto" w:fill="auto"/>
            <w:vAlign w:val="center"/>
            <w:hideMark/>
          </w:tcPr>
          <w:p w:rsidR="007C662D" w:rsidRPr="007C662D" w:rsidRDefault="007C662D" w:rsidP="001841D7">
            <w:pPr>
              <w:jc w:val="right"/>
              <w:rPr>
                <w:color w:val="000000"/>
                <w:sz w:val="22"/>
                <w:szCs w:val="22"/>
                <w:lang w:eastAsia="en-ID"/>
              </w:rPr>
            </w:pPr>
            <w:r w:rsidRPr="007C662D">
              <w:rPr>
                <w:color w:val="000000"/>
                <w:sz w:val="22"/>
                <w:szCs w:val="22"/>
                <w:lang w:eastAsia="en-ID"/>
              </w:rPr>
              <w:t>20.3232</w:t>
            </w:r>
          </w:p>
        </w:tc>
      </w:tr>
      <w:tr w:rsidR="007C662D" w:rsidRPr="007C662D" w:rsidTr="00E60569">
        <w:trPr>
          <w:trHeight w:val="80"/>
        </w:trPr>
        <w:tc>
          <w:tcPr>
            <w:tcW w:w="1605" w:type="pct"/>
            <w:shd w:val="clear" w:color="auto" w:fill="auto"/>
            <w:noWrap/>
            <w:vAlign w:val="center"/>
            <w:hideMark/>
          </w:tcPr>
          <w:p w:rsidR="007C662D" w:rsidRPr="007C662D" w:rsidRDefault="007C662D" w:rsidP="001841D7">
            <w:pPr>
              <w:rPr>
                <w:color w:val="000000"/>
                <w:sz w:val="22"/>
                <w:szCs w:val="22"/>
                <w:lang w:eastAsia="en-ID"/>
              </w:rPr>
            </w:pPr>
            <w:r w:rsidRPr="007C662D">
              <w:rPr>
                <w:color w:val="000000"/>
                <w:sz w:val="22"/>
                <w:szCs w:val="22"/>
                <w:lang w:eastAsia="en-ID"/>
              </w:rPr>
              <w:t>Prob(F statistic)</w:t>
            </w:r>
          </w:p>
        </w:tc>
        <w:tc>
          <w:tcPr>
            <w:tcW w:w="860" w:type="pct"/>
            <w:shd w:val="clear" w:color="auto" w:fill="auto"/>
            <w:noWrap/>
            <w:vAlign w:val="center"/>
            <w:hideMark/>
          </w:tcPr>
          <w:p w:rsidR="007C662D" w:rsidRPr="007C662D" w:rsidRDefault="007C662D" w:rsidP="001841D7">
            <w:pPr>
              <w:rPr>
                <w:color w:val="000000"/>
                <w:sz w:val="22"/>
                <w:szCs w:val="22"/>
                <w:lang w:eastAsia="en-ID"/>
              </w:rPr>
            </w:pPr>
          </w:p>
        </w:tc>
        <w:tc>
          <w:tcPr>
            <w:tcW w:w="884" w:type="pct"/>
            <w:shd w:val="clear" w:color="auto" w:fill="auto"/>
            <w:noWrap/>
            <w:vAlign w:val="center"/>
            <w:hideMark/>
          </w:tcPr>
          <w:p w:rsidR="007C662D" w:rsidRPr="007C662D" w:rsidRDefault="007C662D" w:rsidP="001841D7">
            <w:pPr>
              <w:jc w:val="right"/>
              <w:rPr>
                <w:sz w:val="22"/>
                <w:szCs w:val="22"/>
                <w:lang w:eastAsia="en-ID"/>
              </w:rPr>
            </w:pPr>
          </w:p>
        </w:tc>
        <w:tc>
          <w:tcPr>
            <w:tcW w:w="849" w:type="pct"/>
            <w:shd w:val="clear" w:color="auto" w:fill="auto"/>
            <w:noWrap/>
            <w:vAlign w:val="center"/>
            <w:hideMark/>
          </w:tcPr>
          <w:p w:rsidR="007C662D" w:rsidRPr="007C662D" w:rsidRDefault="007C662D" w:rsidP="001841D7">
            <w:pPr>
              <w:jc w:val="right"/>
              <w:rPr>
                <w:sz w:val="22"/>
                <w:szCs w:val="22"/>
                <w:lang w:eastAsia="en-ID"/>
              </w:rPr>
            </w:pPr>
          </w:p>
        </w:tc>
        <w:tc>
          <w:tcPr>
            <w:tcW w:w="802" w:type="pct"/>
            <w:shd w:val="clear" w:color="auto" w:fill="auto"/>
            <w:noWrap/>
            <w:vAlign w:val="center"/>
            <w:hideMark/>
          </w:tcPr>
          <w:p w:rsidR="007C662D" w:rsidRPr="007C662D" w:rsidRDefault="007C662D" w:rsidP="001841D7">
            <w:pPr>
              <w:jc w:val="right"/>
              <w:rPr>
                <w:color w:val="000000"/>
                <w:sz w:val="22"/>
                <w:szCs w:val="22"/>
                <w:vertAlign w:val="superscript"/>
                <w:lang w:eastAsia="en-ID"/>
              </w:rPr>
            </w:pPr>
            <w:r w:rsidRPr="007C662D">
              <w:rPr>
                <w:color w:val="000000"/>
                <w:sz w:val="22"/>
                <w:szCs w:val="22"/>
                <w:lang w:eastAsia="en-ID"/>
              </w:rPr>
              <w:t>0.0000</w:t>
            </w:r>
            <w:r w:rsidRPr="007C662D">
              <w:rPr>
                <w:color w:val="000000"/>
                <w:sz w:val="22"/>
                <w:szCs w:val="22"/>
                <w:vertAlign w:val="superscript"/>
                <w:lang w:eastAsia="en-ID"/>
              </w:rPr>
              <w:t>***</w:t>
            </w:r>
          </w:p>
        </w:tc>
      </w:tr>
    </w:tbl>
    <w:p w:rsidR="007C662D" w:rsidRPr="007C662D" w:rsidRDefault="007C662D" w:rsidP="001841D7">
      <w:pPr>
        <w:spacing w:line="276" w:lineRule="auto"/>
        <w:jc w:val="both"/>
        <w:rPr>
          <w:sz w:val="22"/>
          <w:szCs w:val="22"/>
        </w:rPr>
      </w:pPr>
      <w:r w:rsidRPr="007C662D">
        <w:rPr>
          <w:sz w:val="22"/>
          <w:szCs w:val="22"/>
        </w:rPr>
        <w:t>Source: Analysis of Primary Data in 2019</w:t>
      </w:r>
    </w:p>
    <w:p w:rsidR="000F27CA" w:rsidRDefault="007C662D" w:rsidP="001841D7">
      <w:pPr>
        <w:spacing w:line="276" w:lineRule="auto"/>
        <w:jc w:val="both"/>
        <w:rPr>
          <w:sz w:val="22"/>
          <w:szCs w:val="22"/>
        </w:rPr>
      </w:pPr>
      <w:r w:rsidRPr="007C662D">
        <w:rPr>
          <w:sz w:val="22"/>
          <w:szCs w:val="22"/>
        </w:rPr>
        <w:t>Where:</w:t>
      </w:r>
      <w:r w:rsidRPr="007C662D">
        <w:rPr>
          <w:sz w:val="22"/>
          <w:szCs w:val="22"/>
        </w:rPr>
        <w:tab/>
      </w:r>
      <w:r w:rsidRPr="007C662D">
        <w:rPr>
          <w:sz w:val="22"/>
          <w:szCs w:val="22"/>
          <w:vertAlign w:val="superscript"/>
        </w:rPr>
        <w:t>***</w:t>
      </w:r>
      <w:r w:rsidRPr="007C662D">
        <w:rPr>
          <w:sz w:val="22"/>
          <w:szCs w:val="22"/>
        </w:rPr>
        <w:t xml:space="preserve"> significant at the error rate 1% (α=0.01)</w:t>
      </w:r>
      <w:r w:rsidR="00040C35">
        <w:rPr>
          <w:sz w:val="22"/>
          <w:szCs w:val="22"/>
        </w:rPr>
        <w:t xml:space="preserve">; </w:t>
      </w:r>
      <w:r w:rsidRPr="007C662D">
        <w:rPr>
          <w:sz w:val="22"/>
          <w:szCs w:val="22"/>
          <w:vertAlign w:val="superscript"/>
        </w:rPr>
        <w:t>**</w:t>
      </w:r>
      <w:r w:rsidRPr="007C662D">
        <w:rPr>
          <w:sz w:val="22"/>
          <w:szCs w:val="22"/>
        </w:rPr>
        <w:t xml:space="preserve"> significant at the error rate 5% (α=0.05)</w:t>
      </w:r>
      <w:r w:rsidR="00040C35">
        <w:rPr>
          <w:sz w:val="22"/>
          <w:szCs w:val="22"/>
        </w:rPr>
        <w:t xml:space="preserve">; </w:t>
      </w:r>
      <w:r w:rsidRPr="007C662D">
        <w:rPr>
          <w:sz w:val="22"/>
          <w:szCs w:val="22"/>
          <w:vertAlign w:val="superscript"/>
        </w:rPr>
        <w:t>*</w:t>
      </w:r>
      <w:r w:rsidRPr="007C662D">
        <w:rPr>
          <w:sz w:val="22"/>
          <w:szCs w:val="22"/>
          <w:lang w:val="en-ID"/>
        </w:rPr>
        <w:t xml:space="preserve"> </w:t>
      </w:r>
      <w:r w:rsidRPr="007C662D">
        <w:rPr>
          <w:sz w:val="22"/>
          <w:szCs w:val="22"/>
        </w:rPr>
        <w:t>significant at the error rate 10% (α=0.10)</w:t>
      </w:r>
      <w:r w:rsidR="00040C35">
        <w:rPr>
          <w:sz w:val="22"/>
          <w:szCs w:val="22"/>
        </w:rPr>
        <w:t xml:space="preserve">; </w:t>
      </w:r>
      <w:r w:rsidRPr="000926EE">
        <w:rPr>
          <w:sz w:val="22"/>
          <w:szCs w:val="22"/>
          <w:vertAlign w:val="superscript"/>
        </w:rPr>
        <w:t>ns</w:t>
      </w:r>
      <w:r>
        <w:rPr>
          <w:sz w:val="22"/>
          <w:szCs w:val="22"/>
        </w:rPr>
        <w:t xml:space="preserve"> not significant</w:t>
      </w:r>
    </w:p>
    <w:p w:rsidR="000F27CA" w:rsidRDefault="000F27CA" w:rsidP="001841D7">
      <w:pPr>
        <w:widowControl w:val="0"/>
        <w:autoSpaceDE w:val="0"/>
        <w:autoSpaceDN w:val="0"/>
        <w:adjustRightInd w:val="0"/>
        <w:spacing w:line="276" w:lineRule="auto"/>
        <w:ind w:right="-32"/>
        <w:jc w:val="both"/>
        <w:rPr>
          <w:sz w:val="22"/>
          <w:szCs w:val="22"/>
        </w:rPr>
      </w:pPr>
    </w:p>
    <w:p w:rsidR="000F27CA" w:rsidRDefault="000F27CA" w:rsidP="001841D7">
      <w:pPr>
        <w:widowControl w:val="0"/>
        <w:autoSpaceDE w:val="0"/>
        <w:autoSpaceDN w:val="0"/>
        <w:adjustRightInd w:val="0"/>
        <w:spacing w:line="276" w:lineRule="auto"/>
        <w:ind w:right="-32"/>
        <w:jc w:val="both"/>
        <w:rPr>
          <w:sz w:val="22"/>
          <w:szCs w:val="22"/>
        </w:rPr>
        <w:sectPr w:rsidR="000F27CA" w:rsidSect="001841D7">
          <w:type w:val="continuous"/>
          <w:pgSz w:w="11907" w:h="16840" w:code="9"/>
          <w:pgMar w:top="2268" w:right="1701" w:bottom="1701" w:left="2268" w:header="720" w:footer="720" w:gutter="0"/>
          <w:cols w:space="562"/>
          <w:docGrid w:linePitch="360"/>
        </w:sectPr>
      </w:pPr>
    </w:p>
    <w:p w:rsidR="004575E7" w:rsidRPr="00FD6193" w:rsidRDefault="00EA2186"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Pr>
          <w:color w:val="222222"/>
          <w:sz w:val="22"/>
          <w:szCs w:val="22"/>
          <w:shd w:val="clear" w:color="auto" w:fill="FFFFFF"/>
          <w:lang w:val="en-ID"/>
        </w:rPr>
        <w:t>T</w:t>
      </w:r>
      <w:r w:rsidR="004575E7" w:rsidRPr="00FD6193">
        <w:rPr>
          <w:color w:val="222222"/>
          <w:sz w:val="22"/>
          <w:szCs w:val="22"/>
          <w:shd w:val="clear" w:color="auto" w:fill="FFFFFF"/>
          <w:lang w:val="en-ID"/>
        </w:rPr>
        <w:t xml:space="preserve">able 4 it can be seen that the inverse mills ratio (IMR) variable has a significance value of t of 0.7335. The significance value is greater </w:t>
      </w:r>
      <w:r w:rsidR="00E544A9" w:rsidRPr="00FD6193">
        <w:rPr>
          <w:color w:val="222222"/>
          <w:sz w:val="22"/>
          <w:szCs w:val="22"/>
          <w:shd w:val="clear" w:color="auto" w:fill="FFFFFF"/>
          <w:lang w:val="en-ID"/>
        </w:rPr>
        <w:t>than alpha 1%, 5%, and 10%. T</w:t>
      </w:r>
      <w:r w:rsidR="004575E7" w:rsidRPr="00FD6193">
        <w:rPr>
          <w:color w:val="222222"/>
          <w:sz w:val="22"/>
          <w:szCs w:val="22"/>
          <w:shd w:val="clear" w:color="auto" w:fill="FFFFFF"/>
          <w:lang w:val="en-ID"/>
        </w:rPr>
        <w:t>his means that there is no sample selection bias that results from the use of WTA values more than 0 (WTA&gt;0). Therefore, OLS</w:t>
      </w:r>
      <w:r w:rsidR="00842375">
        <w:rPr>
          <w:color w:val="222222"/>
          <w:sz w:val="22"/>
          <w:szCs w:val="22"/>
          <w:shd w:val="clear" w:color="auto" w:fill="FFFFFF"/>
          <w:lang w:val="en-ID"/>
        </w:rPr>
        <w:t xml:space="preserve"> model</w:t>
      </w:r>
      <w:r w:rsidR="004575E7" w:rsidRPr="00FD6193">
        <w:rPr>
          <w:color w:val="222222"/>
          <w:sz w:val="22"/>
          <w:szCs w:val="22"/>
          <w:shd w:val="clear" w:color="auto" w:fill="FFFFFF"/>
          <w:lang w:val="en-ID"/>
        </w:rPr>
        <w:t xml:space="preserve"> in the second stage of Heckman's two-stage model is useful in explaining the factors that determine the WTA values of farmers in the peri-urban areas of Pekalongan City </w:t>
      </w:r>
      <w:r w:rsidR="00842375">
        <w:rPr>
          <w:color w:val="222222"/>
          <w:sz w:val="22"/>
          <w:szCs w:val="22"/>
          <w:shd w:val="clear" w:color="auto" w:fill="FFFFFF"/>
          <w:lang w:val="en-ID"/>
        </w:rPr>
        <w:fldChar w:fldCharType="begin" w:fldLock="1"/>
      </w:r>
      <w:r w:rsidR="00316F46">
        <w:rPr>
          <w:color w:val="222222"/>
          <w:sz w:val="22"/>
          <w:szCs w:val="22"/>
          <w:shd w:val="clear" w:color="auto" w:fill="FFFFFF"/>
          <w:lang w:val="en-ID"/>
        </w:rPr>
        <w:instrText>ADDIN CSL_CITATION {"citationItems":[{"id":"ITEM-1","itemData":{"DOI":"10.1016/j.cliser.2017.06.007","ISSN":"24058807","abstract":"This study aims to assess the economic benefits of seasonal climate forecasts in West Africa based on a random survey of 354 maize farmers and to use the contingent valuation method. Results indicate that farmers need accurate seasonal climate forecasts between 1 and 2 months before the onset of rains. The most desirable dissemination channels are radio, local elders, local farmer meetings and extension agents. The most likely used farming strategies are change of: planting date, crop acreage, crop variety, and production intensification. The vast majority of farmers are willing to pay for seasonal climate forecasts, and the average annual economic value of seasonal climate forecasts are about USD 5492 for the 354 sampled farmers and USD 66.5 million dollar at the national level. Furthermore, benefits of seasonal climate forecasts are likely to increase with better access to farmer based organisation, to extension services, to financial services, to modern communication tools, intensity of use of fertilizer and with larger farm sizes. Seasonal climate forecasts are a source of improvement of farmers’ performance and the service should be integrated in extension programmes and in national agricultural development agenda.","author":[{"dropping-particle":"","family":"Amegnaglo","given":"Cocou Jaurès","non-dropping-particle":"","parse-names":false,"suffix":""},{"dropping-particle":"","family":"Anaman","given":"Kwabena Asomanin","non-dropping-particle":"","parse-names":false,"suffix":""},{"dropping-particle":"","family":"Mensah-Bonsu","given":"Akwasi","non-dropping-particle":"","parse-names":false,"suffix":""},{"dropping-particle":"","family":"Onumah","given":"Edwards Ebo","non-dropping-particle":"","parse-names":false,"suffix":""},{"dropping-particle":"","family":"Amoussouga Gero","given":"Fulbert","non-dropping-particle":"","parse-names":false,"suffix":""}],"container-title":"Climate Services","id":"ITEM-1","issue":"2017","issued":{"date-parts":[["2017"]]},"page":"1-11","title":"Contingent valuation study of the benefits of seasonal climate forecasts for maize farmers in the Republic of Benin, West Africa","type":"article-journal","volume":"6"},"uris":["http://www.mendeley.com/documents/?uuid=2416d8bd-70c4-4fe7-b5ec-bd8e5479ff39"]}],"mendeley":{"formattedCitation":"(Amegnaglo et al., 2017)","plainTextFormattedCitation":"(Amegnaglo et al., 2017)","previouslyFormattedCitation":"(Amegnaglo et al., 2017)"},"properties":{"noteIndex":0},"schema":"https://github.com/citation-style-language/schema/raw/master/csl-citation.json"}</w:instrText>
      </w:r>
      <w:r w:rsidR="00842375">
        <w:rPr>
          <w:color w:val="222222"/>
          <w:sz w:val="22"/>
          <w:szCs w:val="22"/>
          <w:shd w:val="clear" w:color="auto" w:fill="FFFFFF"/>
          <w:lang w:val="en-ID"/>
        </w:rPr>
        <w:fldChar w:fldCharType="separate"/>
      </w:r>
      <w:r w:rsidR="00842375" w:rsidRPr="00842375">
        <w:rPr>
          <w:noProof/>
          <w:color w:val="222222"/>
          <w:sz w:val="22"/>
          <w:szCs w:val="22"/>
          <w:shd w:val="clear" w:color="auto" w:fill="FFFFFF"/>
          <w:lang w:val="en-ID"/>
        </w:rPr>
        <w:t xml:space="preserve">(Amegnaglo </w:t>
      </w:r>
      <w:r w:rsidR="00842375" w:rsidRPr="00842375">
        <w:rPr>
          <w:i/>
          <w:noProof/>
          <w:color w:val="222222"/>
          <w:sz w:val="22"/>
          <w:szCs w:val="22"/>
          <w:shd w:val="clear" w:color="auto" w:fill="FFFFFF"/>
          <w:lang w:val="en-ID"/>
        </w:rPr>
        <w:t>et al</w:t>
      </w:r>
      <w:r w:rsidR="00842375" w:rsidRPr="00842375">
        <w:rPr>
          <w:noProof/>
          <w:color w:val="222222"/>
          <w:sz w:val="22"/>
          <w:szCs w:val="22"/>
          <w:shd w:val="clear" w:color="auto" w:fill="FFFFFF"/>
          <w:lang w:val="en-ID"/>
        </w:rPr>
        <w:t>., 2017)</w:t>
      </w:r>
      <w:r w:rsidR="00842375">
        <w:rPr>
          <w:color w:val="222222"/>
          <w:sz w:val="22"/>
          <w:szCs w:val="22"/>
          <w:shd w:val="clear" w:color="auto" w:fill="FFFFFF"/>
          <w:lang w:val="en-ID"/>
        </w:rPr>
        <w:fldChar w:fldCharType="end"/>
      </w:r>
      <w:r w:rsidR="004575E7" w:rsidRPr="00FD6193">
        <w:rPr>
          <w:color w:val="222222"/>
          <w:sz w:val="22"/>
          <w:szCs w:val="22"/>
          <w:shd w:val="clear" w:color="auto" w:fill="FFFFFF"/>
          <w:lang w:val="en-ID"/>
        </w:rPr>
        <w:t>.</w:t>
      </w:r>
    </w:p>
    <w:p w:rsidR="004575E7" w:rsidRPr="00FD6193" w:rsidRDefault="000F730A"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sidRPr="00FD6193">
        <w:rPr>
          <w:color w:val="222222"/>
          <w:sz w:val="22"/>
          <w:szCs w:val="22"/>
          <w:shd w:val="clear" w:color="auto" w:fill="FFFFFF"/>
          <w:lang w:val="en-ID"/>
        </w:rPr>
        <w:t xml:space="preserve">In </w:t>
      </w:r>
      <w:r w:rsidR="004575E7" w:rsidRPr="00FD6193">
        <w:rPr>
          <w:color w:val="222222"/>
          <w:sz w:val="22"/>
          <w:szCs w:val="22"/>
          <w:shd w:val="clear" w:color="auto" w:fill="FFFFFF"/>
          <w:lang w:val="en-ID"/>
        </w:rPr>
        <w:t>Table 4</w:t>
      </w:r>
      <w:r w:rsidRPr="00FD6193">
        <w:rPr>
          <w:color w:val="222222"/>
          <w:sz w:val="22"/>
          <w:szCs w:val="22"/>
          <w:shd w:val="clear" w:color="auto" w:fill="FFFFFF"/>
          <w:lang w:val="en-ID"/>
        </w:rPr>
        <w:t>, it</w:t>
      </w:r>
      <w:r w:rsidR="004575E7" w:rsidRPr="00FD6193">
        <w:rPr>
          <w:color w:val="222222"/>
          <w:sz w:val="22"/>
          <w:szCs w:val="22"/>
          <w:shd w:val="clear" w:color="auto" w:fill="FFFFFF"/>
          <w:lang w:val="en-ID"/>
        </w:rPr>
        <w:t xml:space="preserve"> can be seen that the farm income variable has a significant influence on the amount of WTAs that farmers are willing to accept on the peri-urban areas of Pekalongan City.</w:t>
      </w:r>
      <w:r w:rsidR="00B33DF8">
        <w:rPr>
          <w:color w:val="222222"/>
          <w:sz w:val="22"/>
          <w:szCs w:val="22"/>
          <w:shd w:val="clear" w:color="auto" w:fill="FFFFFF"/>
          <w:lang w:val="en-ID"/>
        </w:rPr>
        <w:t xml:space="preserve"> T</w:t>
      </w:r>
      <w:r w:rsidR="004575E7" w:rsidRPr="00FD6193">
        <w:rPr>
          <w:color w:val="222222"/>
          <w:sz w:val="22"/>
          <w:szCs w:val="22"/>
          <w:shd w:val="clear" w:color="auto" w:fill="FFFFFF"/>
          <w:lang w:val="en-ID"/>
        </w:rPr>
        <w:t xml:space="preserve">he regression coefficient of farm income variable is 0.6121. Signs on </w:t>
      </w:r>
      <w:r w:rsidR="004575E7" w:rsidRPr="00FD6193">
        <w:rPr>
          <w:color w:val="222222"/>
          <w:sz w:val="22"/>
          <w:szCs w:val="22"/>
          <w:shd w:val="clear" w:color="auto" w:fill="FFFFFF"/>
          <w:lang w:val="en-ID"/>
        </w:rPr>
        <w:lastRenderedPageBreak/>
        <w:t>the regr</w:t>
      </w:r>
      <w:r w:rsidR="00362744" w:rsidRPr="00FD6193">
        <w:rPr>
          <w:color w:val="222222"/>
          <w:sz w:val="22"/>
          <w:szCs w:val="22"/>
          <w:shd w:val="clear" w:color="auto" w:fill="FFFFFF"/>
          <w:lang w:val="en-ID"/>
        </w:rPr>
        <w:t>ession coefficient are positive. I</w:t>
      </w:r>
      <w:r w:rsidR="004575E7" w:rsidRPr="00FD6193">
        <w:rPr>
          <w:color w:val="222222"/>
          <w:sz w:val="22"/>
          <w:szCs w:val="22"/>
          <w:shd w:val="clear" w:color="auto" w:fill="FFFFFF"/>
          <w:lang w:val="en-ID"/>
        </w:rPr>
        <w:t xml:space="preserve">t means that every increase in farm income of </w:t>
      </w:r>
      <w:r w:rsidR="00316F46">
        <w:rPr>
          <w:color w:val="222222"/>
          <w:sz w:val="22"/>
          <w:szCs w:val="22"/>
          <w:shd w:val="clear" w:color="auto" w:fill="FFFFFF"/>
          <w:lang w:val="en-ID"/>
        </w:rPr>
        <w:t>IDR 1</w:t>
      </w:r>
      <w:r w:rsidR="004575E7" w:rsidRPr="00FD6193">
        <w:rPr>
          <w:color w:val="222222"/>
          <w:sz w:val="22"/>
          <w:szCs w:val="22"/>
          <w:shd w:val="clear" w:color="auto" w:fill="FFFFFF"/>
          <w:lang w:val="en-ID"/>
        </w:rPr>
        <w:t xml:space="preserve"> will increase the amount of WTA farmers</w:t>
      </w:r>
      <w:r w:rsidR="00362744" w:rsidRPr="00FD6193">
        <w:rPr>
          <w:color w:val="222222"/>
          <w:sz w:val="22"/>
          <w:szCs w:val="22"/>
          <w:shd w:val="clear" w:color="auto" w:fill="FFFFFF"/>
          <w:lang w:val="en-ID"/>
        </w:rPr>
        <w:t xml:space="preserve"> want as much as </w:t>
      </w:r>
      <w:r w:rsidR="00316F46">
        <w:rPr>
          <w:color w:val="222222"/>
          <w:sz w:val="22"/>
          <w:szCs w:val="22"/>
          <w:shd w:val="clear" w:color="auto" w:fill="FFFFFF"/>
          <w:lang w:val="en-ID"/>
        </w:rPr>
        <w:t>IDR 0.6121</w:t>
      </w:r>
      <w:r w:rsidR="00362744" w:rsidRPr="00FD6193">
        <w:rPr>
          <w:color w:val="222222"/>
          <w:sz w:val="22"/>
          <w:szCs w:val="22"/>
          <w:shd w:val="clear" w:color="auto" w:fill="FFFFFF"/>
          <w:lang w:val="en-ID"/>
        </w:rPr>
        <w:t xml:space="preserve">. </w:t>
      </w:r>
      <w:r w:rsidR="00894D26" w:rsidRPr="00FD6193">
        <w:rPr>
          <w:color w:val="222222"/>
          <w:sz w:val="22"/>
          <w:szCs w:val="22"/>
          <w:shd w:val="clear" w:color="auto" w:fill="FFFFFF"/>
          <w:lang w:val="en-ID"/>
        </w:rPr>
        <w:t>Therefore</w:t>
      </w:r>
      <w:r w:rsidR="00362744" w:rsidRPr="00FD6193">
        <w:rPr>
          <w:color w:val="222222"/>
          <w:sz w:val="22"/>
          <w:szCs w:val="22"/>
          <w:shd w:val="clear" w:color="auto" w:fill="FFFFFF"/>
          <w:lang w:val="en-ID"/>
        </w:rPr>
        <w:t>,</w:t>
      </w:r>
      <w:r w:rsidR="004575E7" w:rsidRPr="00FD6193">
        <w:rPr>
          <w:color w:val="222222"/>
          <w:sz w:val="22"/>
          <w:szCs w:val="22"/>
          <w:shd w:val="clear" w:color="auto" w:fill="FFFFFF"/>
          <w:lang w:val="en-ID"/>
        </w:rPr>
        <w:t xml:space="preserve"> the greater the farmer's income, the greater the WTA desired by farmers. This result is not in accordance with the expectation sign that is negative. This can occur due to farmers' higher income which shows the higher level of risk that farmers must bear in carrying out farming activities in the peri-urban areas of Pekalongan City. This risk includes production risk, price risk, and so forth</w:t>
      </w:r>
      <w:r w:rsidR="00316F46">
        <w:rPr>
          <w:color w:val="222222"/>
          <w:sz w:val="22"/>
          <w:szCs w:val="22"/>
          <w:shd w:val="clear" w:color="auto" w:fill="FFFFFF"/>
          <w:lang w:val="en-ID"/>
        </w:rPr>
        <w:t xml:space="preserve"> </w:t>
      </w:r>
      <w:r w:rsidR="00316F46">
        <w:rPr>
          <w:color w:val="222222"/>
          <w:sz w:val="22"/>
          <w:szCs w:val="22"/>
          <w:shd w:val="clear" w:color="auto" w:fill="FFFFFF"/>
          <w:lang w:val="en-ID"/>
        </w:rPr>
        <w:fldChar w:fldCharType="begin" w:fldLock="1"/>
      </w:r>
      <w:r w:rsidR="00316F46">
        <w:rPr>
          <w:color w:val="222222"/>
          <w:sz w:val="22"/>
          <w:szCs w:val="22"/>
          <w:shd w:val="clear" w:color="auto" w:fill="FFFFFF"/>
          <w:lang w:val="en-ID"/>
        </w:rPr>
        <w:instrText>ADDIN CSL_CITATION {"citationItems":[{"id":"ITEM-1","itemData":{"author":[{"dropping-particle":"","family":"Prasada","given":"I Made Yoga","non-dropping-particle":"","parse-names":false,"suffix":""},{"dropping-particle":"","family":"Dhamira","given":"Aura","non-dropping-particle":"","parse-names":false,"suffix":""},{"dropping-particle":"","family":"Nugroho","given":"Agus Dwi","non-dropping-particle":"","parse-names":false,"suffix":""}],"container-title":"AGRARIS: Journal of Agribusiness and Rural Development Research","id":"ITEM-1","issue":"2","issued":{"date-parts":[["2018"]]},"page":"129-138","title":"Supply Response of Paddy in East Java : Policy Implications to Increase Rice Production","type":"article-journal","volume":"4"},"uris":["http://www.mendeley.com/documents/?uuid=8611870a-642f-4ee1-9b66-bb682564fb86"]},{"id":"ITEM-2","itemData":{"author":[{"dropping-particle":"","family":"Lawalata","given":"Marfin","non-dropping-particle":"","parse-names":false,"suffix":""},{"dropping-particle":"","family":"Darwanto","given":"Dwidjono Hadi","non-dropping-particle":"","parse-names":false,"suffix":""},{"dropping-particle":"","family":"Hartono","given":"Slamet","non-dropping-particle":"","parse-names":false,"suffix":""}],"container-title":"Agrica (Jurnal Agribisnis Sumatera Utara)","id":"ITEM-2","issue":"1","issued":{"date-parts":[["2017"]]},"page":"56-73","title":"Risiko Usahatani Bawang Merah di Kabupaten Bantul","type":"article-journal","volume":"10"},"uris":["http://www.mendeley.com/documents/?uuid=17d927ad-cb55-4259-8337-f97ca0433101"]}],"mendeley":{"formattedCitation":"(Lawalata, Darwanto, &amp; Hartono, 2017; Prasada, Dhamira, &amp; Nugroho, 2018)","manualFormatting":"(Lawalata et al., 2017; Prasada et al., 2018)","plainTextFormattedCitation":"(Lawalata, Darwanto, &amp; Hartono, 2017; Prasada, Dhamira, &amp; Nugroho, 2018)","previouslyFormattedCitation":"(Lawalata, Darwanto, &amp; Hartono, 2017; Prasada, Dhamira, &amp; Nugroho, 2018)"},"properties":{"noteIndex":0},"schema":"https://github.com/citation-style-language/schema/raw/master/csl-citation.json"}</w:instrText>
      </w:r>
      <w:r w:rsidR="00316F46">
        <w:rPr>
          <w:color w:val="222222"/>
          <w:sz w:val="22"/>
          <w:szCs w:val="22"/>
          <w:shd w:val="clear" w:color="auto" w:fill="FFFFFF"/>
          <w:lang w:val="en-ID"/>
        </w:rPr>
        <w:fldChar w:fldCharType="separate"/>
      </w:r>
      <w:r w:rsidR="00316F46">
        <w:rPr>
          <w:noProof/>
          <w:color w:val="222222"/>
          <w:sz w:val="22"/>
          <w:szCs w:val="22"/>
          <w:shd w:val="clear" w:color="auto" w:fill="FFFFFF"/>
          <w:lang w:val="en-ID"/>
        </w:rPr>
        <w:t>(Lawalata</w:t>
      </w:r>
      <w:r w:rsidR="00316F46" w:rsidRPr="00316F46">
        <w:rPr>
          <w:noProof/>
          <w:color w:val="222222"/>
          <w:sz w:val="22"/>
          <w:szCs w:val="22"/>
          <w:shd w:val="clear" w:color="auto" w:fill="FFFFFF"/>
          <w:lang w:val="en-ID"/>
        </w:rPr>
        <w:t xml:space="preserve"> </w:t>
      </w:r>
      <w:r w:rsidR="00316F46" w:rsidRPr="00316F46">
        <w:rPr>
          <w:i/>
          <w:noProof/>
          <w:color w:val="222222"/>
          <w:sz w:val="22"/>
          <w:szCs w:val="22"/>
          <w:shd w:val="clear" w:color="auto" w:fill="FFFFFF"/>
          <w:lang w:val="en-ID"/>
        </w:rPr>
        <w:t>et al</w:t>
      </w:r>
      <w:r w:rsidR="00316F46">
        <w:rPr>
          <w:noProof/>
          <w:color w:val="222222"/>
          <w:sz w:val="22"/>
          <w:szCs w:val="22"/>
          <w:shd w:val="clear" w:color="auto" w:fill="FFFFFF"/>
          <w:lang w:val="en-ID"/>
        </w:rPr>
        <w:t xml:space="preserve">., 2017; Prasada </w:t>
      </w:r>
      <w:r w:rsidR="00316F46" w:rsidRPr="00316F46">
        <w:rPr>
          <w:i/>
          <w:noProof/>
          <w:color w:val="222222"/>
          <w:sz w:val="22"/>
          <w:szCs w:val="22"/>
          <w:shd w:val="clear" w:color="auto" w:fill="FFFFFF"/>
          <w:lang w:val="en-ID"/>
        </w:rPr>
        <w:t>et al</w:t>
      </w:r>
      <w:r w:rsidR="00316F46">
        <w:rPr>
          <w:noProof/>
          <w:color w:val="222222"/>
          <w:sz w:val="22"/>
          <w:szCs w:val="22"/>
          <w:shd w:val="clear" w:color="auto" w:fill="FFFFFF"/>
          <w:lang w:val="en-ID"/>
        </w:rPr>
        <w:t>.</w:t>
      </w:r>
      <w:r w:rsidR="00316F46" w:rsidRPr="00316F46">
        <w:rPr>
          <w:noProof/>
          <w:color w:val="222222"/>
          <w:sz w:val="22"/>
          <w:szCs w:val="22"/>
          <w:shd w:val="clear" w:color="auto" w:fill="FFFFFF"/>
          <w:lang w:val="en-ID"/>
        </w:rPr>
        <w:t>, 2018)</w:t>
      </w:r>
      <w:r w:rsidR="00316F46">
        <w:rPr>
          <w:color w:val="222222"/>
          <w:sz w:val="22"/>
          <w:szCs w:val="22"/>
          <w:shd w:val="clear" w:color="auto" w:fill="FFFFFF"/>
          <w:lang w:val="en-ID"/>
        </w:rPr>
        <w:fldChar w:fldCharType="end"/>
      </w:r>
      <w:r w:rsidR="004575E7" w:rsidRPr="00FD6193">
        <w:rPr>
          <w:color w:val="222222"/>
          <w:sz w:val="22"/>
          <w:szCs w:val="22"/>
          <w:shd w:val="clear" w:color="auto" w:fill="FFFFFF"/>
          <w:lang w:val="en-ID"/>
        </w:rPr>
        <w:t xml:space="preserve">. Therefore, farming income in this study has a positive relationship with the number of WTAs desired by farmers </w:t>
      </w:r>
      <w:r w:rsidR="00362744" w:rsidRPr="00FD6193">
        <w:rPr>
          <w:color w:val="222222"/>
          <w:sz w:val="22"/>
          <w:szCs w:val="22"/>
          <w:shd w:val="clear" w:color="auto" w:fill="FFFFFF"/>
          <w:lang w:val="en-ID"/>
        </w:rPr>
        <w:t xml:space="preserve">in order </w:t>
      </w:r>
      <w:r w:rsidR="004575E7" w:rsidRPr="00FD6193">
        <w:rPr>
          <w:color w:val="222222"/>
          <w:sz w:val="22"/>
          <w:szCs w:val="22"/>
          <w:shd w:val="clear" w:color="auto" w:fill="FFFFFF"/>
          <w:lang w:val="en-ID"/>
        </w:rPr>
        <w:t xml:space="preserve">to protect the sustainability of agricultural land in the peri-urban areas of Pekalongan City. Production risk in farming activities can be overcome by participating in agricultural insurance programs, so that the risks faced by farmers can be minimized </w:t>
      </w:r>
      <w:r w:rsidR="00316F46">
        <w:rPr>
          <w:color w:val="222222"/>
          <w:sz w:val="22"/>
          <w:szCs w:val="22"/>
          <w:shd w:val="clear" w:color="auto" w:fill="FFFFFF"/>
          <w:lang w:val="en-ID"/>
        </w:rPr>
        <w:fldChar w:fldCharType="begin" w:fldLock="1"/>
      </w:r>
      <w:r w:rsidR="0053312B">
        <w:rPr>
          <w:color w:val="222222"/>
          <w:sz w:val="22"/>
          <w:szCs w:val="22"/>
          <w:shd w:val="clear" w:color="auto" w:fill="FFFFFF"/>
          <w:lang w:val="en-ID"/>
        </w:rPr>
        <w:instrText>ADDIN CSL_CITATION {"citationItems":[{"id":"ITEM-1","itemData":{"abstract":"Sektor pertanian yang mencakup tanaman bahan makanan, peternakan, hortikultura, perkebunan, perikanan, dan kehutanan, pada tahun 2003 menyerap 46,3% tenaga kerja dari total angkatan kerja. Kegiatan usaha disektor pertanian ini akan selalu dihadapkan pada risiko ketidakpastian yang cukup tinggi. Asuransi untuk usaha tani dapat menjadi solusi untuk menanggulangi perubahan iklim yang sulit di prediksi. Namun, pilot project tersebut belum dilakukan ke banyak daerah, termasuk DIY. Penelitian ini membahas tentang perlindungan petani dalam hukum, dan pengaplikasian asuransi tersebut kepada Gabungan Kelompok Tani Argorejo, Bantul. Hasil penelitian menunjukkan bahwa peranan asuransi pertanian dalam upaya melindungi petani sebagai bentuk pengalihan risiko berdasarkan UU P3 adalah sesuai dengan tujuannya, yaitu untuk meningkatkan taraf kesejahteraan, dan hal ini secara umum belum dapat dipraktikan secara langsung pada Gabungan Kelompok Tani Argorejo, Bantul. Kata kunci: asuransi pertanian, gabungan kelompok tani, Bantul.","author":[{"dropping-particle":"","family":"Septian","given":"Dandi","non-dropping-particle":"","parse-names":false,"suffix":""},{"dropping-particle":"","family":"Anugrah","given":"Gabriel Cahaya","non-dropping-particle":"","parse-names":false,"suffix":""}],"container-title":"Jurnal Penelitian Hukum","id":"ITEM-1","issue":"2","issued":{"date-parts":[["2014"]]},"page":"92-108","title":"Perindungan petani melalui konsep asuransi pada Gabungan Kelompok Tani Desa Argorejo, Kabupaten Bantul","type":"article-journal","volume":"1"},"uris":["http://www.mendeley.com/documents/?uuid=cd62f836-6773-4fa5-9476-d18960ee1e02"]},{"id":"ITEM-2","itemData":{"DOI":"10.18196/agr.1210","ISSN":"2407814X","abstract":"This study aimed to analyze the risk of paddy rice farming and the impact of the use of farm inputs to the risk of rice production in Bali Province. The research was conducted in three districts of rice production centers, Tabanan, Buleleng and Gianyar during two cropping seasons in 2012. The data collected through interviews with 122 randomly selected farmers. Risk production of low land rice was analyzed by the coefficient of variation, while the factors that affect the risk of rice production were analyzed with multiple linear regression analysis with multiplicative heteroskedastic method. The result showed that the risk production of rice on wet season and the land does not belong to his own status is higher than dry season and his own status. Production factors that significantly affect the risk of rice production are land, organic fertilizers and pesticides.","author":[{"dropping-particle":"","family":"Suharyanto","given":"Suharyanto","non-dropping-particle":"","parse-names":false,"suffix":""},{"dropping-particle":"","family":"Rinaldy","given":"Jemmy","non-dropping-particle":"","parse-names":false,"suffix":""},{"dropping-particle":"","family":"Ngurah Arya","given":"Nyoman","non-dropping-particle":"","parse-names":false,"suffix":""}],"container-title":"AGRARIS: Journal of Agribusiness and Rural Development Research","id":"ITEM-2","issue":"2","issued":{"date-parts":[["2015"]]},"page":"70-77","title":"Analisis Risiko Produksi Usahatani Padi Sawah","type":"article-journal","volume":"1"},"uris":["http://www.mendeley.com/documents/?uuid=2a061eb1-7fd5-447e-ad2c-61693b389837"]}],"mendeley":{"formattedCitation":"(Septian &amp; Anugrah, 2014; Suharyanto, Rinaldy, &amp; Ngurah Arya, 2015)","manualFormatting":"(Septian &amp; Anugrah, 2014; Suharyanto et al., 2015)","plainTextFormattedCitation":"(Septian &amp; Anugrah, 2014; Suharyanto, Rinaldy, &amp; Ngurah Arya, 2015)","previouslyFormattedCitation":"(Septian &amp; Anugrah, 2014; Suharyanto, Rinaldy, &amp; Ngurah Arya, 2015)"},"properties":{"noteIndex":0},"schema":"https://github.com/citation-style-language/schema/raw/master/csl-citation.json"}</w:instrText>
      </w:r>
      <w:r w:rsidR="00316F46">
        <w:rPr>
          <w:color w:val="222222"/>
          <w:sz w:val="22"/>
          <w:szCs w:val="22"/>
          <w:shd w:val="clear" w:color="auto" w:fill="FFFFFF"/>
          <w:lang w:val="en-ID"/>
        </w:rPr>
        <w:fldChar w:fldCharType="separate"/>
      </w:r>
      <w:r w:rsidR="00316F46" w:rsidRPr="00316F46">
        <w:rPr>
          <w:noProof/>
          <w:color w:val="222222"/>
          <w:sz w:val="22"/>
          <w:szCs w:val="22"/>
          <w:shd w:val="clear" w:color="auto" w:fill="FFFFFF"/>
          <w:lang w:val="en-ID"/>
        </w:rPr>
        <w:t>(Septian &amp; Anugrah, 2014; Suharyanto</w:t>
      </w:r>
      <w:r w:rsidR="00316F46">
        <w:rPr>
          <w:noProof/>
          <w:color w:val="222222"/>
          <w:sz w:val="22"/>
          <w:szCs w:val="22"/>
          <w:shd w:val="clear" w:color="auto" w:fill="FFFFFF"/>
          <w:lang w:val="en-ID"/>
        </w:rPr>
        <w:t xml:space="preserve"> </w:t>
      </w:r>
      <w:r w:rsidR="00316F46">
        <w:rPr>
          <w:i/>
          <w:noProof/>
          <w:color w:val="222222"/>
          <w:sz w:val="22"/>
          <w:szCs w:val="22"/>
          <w:shd w:val="clear" w:color="auto" w:fill="FFFFFF"/>
          <w:lang w:val="en-ID"/>
        </w:rPr>
        <w:t>et al.</w:t>
      </w:r>
      <w:r w:rsidR="00316F46" w:rsidRPr="00316F46">
        <w:rPr>
          <w:noProof/>
          <w:color w:val="222222"/>
          <w:sz w:val="22"/>
          <w:szCs w:val="22"/>
          <w:shd w:val="clear" w:color="auto" w:fill="FFFFFF"/>
          <w:lang w:val="en-ID"/>
        </w:rPr>
        <w:t>, 2015)</w:t>
      </w:r>
      <w:r w:rsidR="00316F46">
        <w:rPr>
          <w:color w:val="222222"/>
          <w:sz w:val="22"/>
          <w:szCs w:val="22"/>
          <w:shd w:val="clear" w:color="auto" w:fill="FFFFFF"/>
          <w:lang w:val="en-ID"/>
        </w:rPr>
        <w:fldChar w:fldCharType="end"/>
      </w:r>
      <w:r w:rsidR="004575E7" w:rsidRPr="00FD6193">
        <w:rPr>
          <w:color w:val="222222"/>
          <w:sz w:val="22"/>
          <w:szCs w:val="22"/>
          <w:shd w:val="clear" w:color="auto" w:fill="FFFFFF"/>
          <w:lang w:val="en-ID"/>
        </w:rPr>
        <w:t>.</w:t>
      </w:r>
    </w:p>
    <w:p w:rsidR="004575E7" w:rsidRPr="00FD6193" w:rsidRDefault="00040C35" w:rsidP="001841D7">
      <w:pPr>
        <w:widowControl w:val="0"/>
        <w:autoSpaceDE w:val="0"/>
        <w:autoSpaceDN w:val="0"/>
        <w:adjustRightInd w:val="0"/>
        <w:spacing w:line="276" w:lineRule="auto"/>
        <w:ind w:right="-32" w:firstLine="720"/>
        <w:jc w:val="both"/>
        <w:rPr>
          <w:color w:val="222222"/>
          <w:sz w:val="22"/>
          <w:szCs w:val="22"/>
          <w:shd w:val="clear" w:color="auto" w:fill="FFFFFF"/>
          <w:lang w:val="en-ID"/>
        </w:rPr>
      </w:pPr>
      <w:r>
        <w:rPr>
          <w:color w:val="222222"/>
          <w:sz w:val="22"/>
          <w:szCs w:val="22"/>
          <w:shd w:val="clear" w:color="auto" w:fill="FFFFFF"/>
          <w:lang w:val="en-ID"/>
        </w:rPr>
        <w:t>V</w:t>
      </w:r>
      <w:r w:rsidR="004575E7" w:rsidRPr="00FD6193">
        <w:rPr>
          <w:color w:val="222222"/>
          <w:sz w:val="22"/>
          <w:szCs w:val="22"/>
          <w:shd w:val="clear" w:color="auto" w:fill="FFFFFF"/>
          <w:lang w:val="en-ID"/>
        </w:rPr>
        <w:t>ariable farmers’ farming experience has a significant effect on the number of WTAs that farmers are willing to accept in the peri-urban areas of Pekalongan City.</w:t>
      </w:r>
      <w:r w:rsidR="00B33DF8">
        <w:rPr>
          <w:color w:val="222222"/>
          <w:sz w:val="22"/>
          <w:szCs w:val="22"/>
          <w:shd w:val="clear" w:color="auto" w:fill="FFFFFF"/>
          <w:lang w:val="en-ID"/>
        </w:rPr>
        <w:t xml:space="preserve"> </w:t>
      </w:r>
      <w:r w:rsidR="004575E7" w:rsidRPr="00FD6193">
        <w:rPr>
          <w:color w:val="222222"/>
          <w:sz w:val="22"/>
          <w:szCs w:val="22"/>
          <w:shd w:val="clear" w:color="auto" w:fill="FFFFFF"/>
          <w:lang w:val="en-ID"/>
        </w:rPr>
        <w:t xml:space="preserve">The farmers’ farming experience variable in the peri-urban areas of Pekalongan City has a regression coefficient of -70,374. The regression coefficient means that an increase in one-year farming experience will reduce the number </w:t>
      </w:r>
      <w:r w:rsidR="008B430A">
        <w:rPr>
          <w:color w:val="222222"/>
          <w:sz w:val="22"/>
          <w:szCs w:val="22"/>
          <w:shd w:val="clear" w:color="auto" w:fill="FFFFFF"/>
          <w:lang w:val="en-ID"/>
        </w:rPr>
        <w:t xml:space="preserve">of WTAs desired by farmers by IDR </w:t>
      </w:r>
      <w:r w:rsidR="004575E7" w:rsidRPr="00FD6193">
        <w:rPr>
          <w:color w:val="222222"/>
          <w:sz w:val="22"/>
          <w:szCs w:val="22"/>
          <w:shd w:val="clear" w:color="auto" w:fill="FFFFFF"/>
          <w:lang w:val="en-ID"/>
        </w:rPr>
        <w:t>70,374. Therefore, it can</w:t>
      </w:r>
      <w:r w:rsidR="00752056" w:rsidRPr="00FD6193">
        <w:rPr>
          <w:color w:val="222222"/>
          <w:sz w:val="22"/>
          <w:szCs w:val="22"/>
          <w:shd w:val="clear" w:color="auto" w:fill="FFFFFF"/>
          <w:lang w:val="en-ID"/>
        </w:rPr>
        <w:t xml:space="preserve"> be concluded that the higher the</w:t>
      </w:r>
      <w:r w:rsidR="004575E7" w:rsidRPr="00FD6193">
        <w:rPr>
          <w:color w:val="222222"/>
          <w:sz w:val="22"/>
          <w:szCs w:val="22"/>
          <w:shd w:val="clear" w:color="auto" w:fill="FFFFFF"/>
          <w:lang w:val="en-ID"/>
        </w:rPr>
        <w:t xml:space="preserve"> farmers’ farming experience in the peri-urban areas of Pekalongan City, the smaller of the WTAs values that are willing to be accepted by farmers. The smaller number of WTAs shows the higher level of sustainability of agricultural land in the peri-urban areas of Pekalongan City. The increase in farming experience can reduce the number of WTA desired </w:t>
      </w:r>
      <w:r w:rsidR="00712D67" w:rsidRPr="00FD6193">
        <w:rPr>
          <w:color w:val="222222"/>
          <w:sz w:val="22"/>
          <w:szCs w:val="22"/>
          <w:shd w:val="clear" w:color="auto" w:fill="FFFFFF"/>
          <w:lang w:val="en-ID"/>
        </w:rPr>
        <w:t>by farmers because the higher the</w:t>
      </w:r>
      <w:r w:rsidR="004575E7" w:rsidRPr="00FD6193">
        <w:rPr>
          <w:color w:val="222222"/>
          <w:sz w:val="22"/>
          <w:szCs w:val="22"/>
          <w:shd w:val="clear" w:color="auto" w:fill="FFFFFF"/>
          <w:lang w:val="en-ID"/>
        </w:rPr>
        <w:t xml:space="preserve"> </w:t>
      </w:r>
      <w:r w:rsidR="00712D67" w:rsidRPr="00FD6193">
        <w:rPr>
          <w:color w:val="222222"/>
          <w:sz w:val="22"/>
          <w:szCs w:val="22"/>
          <w:shd w:val="clear" w:color="auto" w:fill="FFFFFF"/>
          <w:lang w:val="en-ID"/>
        </w:rPr>
        <w:t>farming experience of the farmers means that they</w:t>
      </w:r>
      <w:r w:rsidR="004575E7" w:rsidRPr="00FD6193">
        <w:rPr>
          <w:color w:val="222222"/>
          <w:sz w:val="22"/>
          <w:szCs w:val="22"/>
          <w:shd w:val="clear" w:color="auto" w:fill="FFFFFF"/>
          <w:lang w:val="en-ID"/>
        </w:rPr>
        <w:t xml:space="preserve"> will increasingly understand and realize the benefits of </w:t>
      </w:r>
      <w:r w:rsidR="00712D67" w:rsidRPr="00FD6193">
        <w:rPr>
          <w:color w:val="222222"/>
          <w:sz w:val="22"/>
          <w:szCs w:val="22"/>
          <w:shd w:val="clear" w:color="auto" w:fill="FFFFFF"/>
          <w:lang w:val="en-ID"/>
        </w:rPr>
        <w:t xml:space="preserve">the </w:t>
      </w:r>
      <w:r w:rsidR="004575E7" w:rsidRPr="00FD6193">
        <w:rPr>
          <w:color w:val="222222"/>
          <w:sz w:val="22"/>
          <w:szCs w:val="22"/>
          <w:shd w:val="clear" w:color="auto" w:fill="FFFFFF"/>
          <w:lang w:val="en-ID"/>
        </w:rPr>
        <w:t>agricultural land that</w:t>
      </w:r>
      <w:r w:rsidR="00712D67" w:rsidRPr="00FD6193">
        <w:rPr>
          <w:color w:val="222222"/>
          <w:sz w:val="22"/>
          <w:szCs w:val="22"/>
          <w:shd w:val="clear" w:color="auto" w:fill="FFFFFF"/>
          <w:lang w:val="en-ID"/>
        </w:rPr>
        <w:t xml:space="preserve"> is owned and managed. Accordingly,</w:t>
      </w:r>
      <w:r w:rsidR="004575E7" w:rsidRPr="00FD6193">
        <w:rPr>
          <w:color w:val="222222"/>
          <w:sz w:val="22"/>
          <w:szCs w:val="22"/>
          <w:shd w:val="clear" w:color="auto" w:fill="FFFFFF"/>
          <w:lang w:val="en-ID"/>
        </w:rPr>
        <w:t xml:space="preserve"> the sustainability of agricultural land in the peri-urban areas can be maintained.</w:t>
      </w:r>
    </w:p>
    <w:p w:rsidR="004628B6" w:rsidRPr="00FD6193" w:rsidRDefault="004628B6" w:rsidP="001841D7">
      <w:pPr>
        <w:autoSpaceDE w:val="0"/>
        <w:autoSpaceDN w:val="0"/>
        <w:adjustRightInd w:val="0"/>
        <w:spacing w:line="276" w:lineRule="auto"/>
        <w:jc w:val="both"/>
        <w:rPr>
          <w:color w:val="231F20"/>
          <w:sz w:val="22"/>
          <w:szCs w:val="22"/>
        </w:rPr>
      </w:pPr>
    </w:p>
    <w:p w:rsidR="004628B6" w:rsidRPr="00FD6193" w:rsidRDefault="00FD7AB0" w:rsidP="001841D7">
      <w:pPr>
        <w:autoSpaceDE w:val="0"/>
        <w:autoSpaceDN w:val="0"/>
        <w:adjustRightInd w:val="0"/>
        <w:spacing w:line="276" w:lineRule="auto"/>
        <w:jc w:val="both"/>
        <w:rPr>
          <w:color w:val="231F20"/>
          <w:sz w:val="22"/>
          <w:szCs w:val="22"/>
        </w:rPr>
      </w:pPr>
      <w:r w:rsidRPr="00FD6193">
        <w:rPr>
          <w:b/>
          <w:bCs/>
          <w:color w:val="231F20"/>
          <w:sz w:val="22"/>
          <w:szCs w:val="22"/>
        </w:rPr>
        <w:t>CONCLUSION AND SUGGESTION</w:t>
      </w:r>
    </w:p>
    <w:p w:rsidR="004575E7" w:rsidRPr="00FD6193" w:rsidRDefault="004575E7" w:rsidP="001841D7">
      <w:pPr>
        <w:autoSpaceDE w:val="0"/>
        <w:autoSpaceDN w:val="0"/>
        <w:adjustRightInd w:val="0"/>
        <w:spacing w:line="276" w:lineRule="auto"/>
        <w:ind w:firstLine="720"/>
        <w:jc w:val="both"/>
        <w:rPr>
          <w:color w:val="222222"/>
          <w:sz w:val="22"/>
          <w:szCs w:val="22"/>
          <w:shd w:val="clear" w:color="auto" w:fill="FFFFFF"/>
          <w:lang w:val="en-ID"/>
        </w:rPr>
      </w:pPr>
      <w:r w:rsidRPr="00FD6193">
        <w:rPr>
          <w:color w:val="222222"/>
          <w:sz w:val="22"/>
          <w:szCs w:val="22"/>
          <w:shd w:val="clear" w:color="auto" w:fill="FFFFFF"/>
          <w:lang w:val="en-ID"/>
        </w:rPr>
        <w:t>Based on the results and discussion, it can be concluded that the WTA of farmers to remain willing to protect the sustainability of agricultural land in the peri-urban</w:t>
      </w:r>
      <w:r w:rsidR="000F27CA">
        <w:rPr>
          <w:color w:val="222222"/>
          <w:sz w:val="22"/>
          <w:szCs w:val="22"/>
          <w:shd w:val="clear" w:color="auto" w:fill="FFFFFF"/>
          <w:lang w:val="en-ID"/>
        </w:rPr>
        <w:t xml:space="preserve"> areas of Pekalongan City is IDR </w:t>
      </w:r>
      <w:r w:rsidRPr="00FD6193">
        <w:rPr>
          <w:color w:val="222222"/>
          <w:sz w:val="22"/>
          <w:szCs w:val="22"/>
          <w:shd w:val="clear" w:color="auto" w:fill="FFFFFF"/>
          <w:lang w:val="en-ID"/>
        </w:rPr>
        <w:t>7,217,827.27 per year. Factors that influence the farmers’ willingness to accept or reject compensation are the distance of agricultural land to the main road and farmers' perceptions of the sustainability of agricultural land in the peri-urban areas. Factors that influence the farmers’ WTA values to be willing to protect agricultural land in the peri-urban areas of Pekalongan City are farm income and farming experience. The sustainability of agricultural land in the peri-urban areas of Pekalongan City can be maintained by taking into account the advice and infrastructure needed by farmers who have rice fields adjacent to the main road. In addition, farmers' perceptions of the sustainability of agricultural land also need to be improved by providing counseling or training to farmers related to farming activities that run in the peri-urban areas. The risk of production can be overcome by participating in an agricultural insurance program.</w:t>
      </w:r>
    </w:p>
    <w:p w:rsidR="00CA3825" w:rsidRPr="00FD6193" w:rsidRDefault="00CA3825" w:rsidP="001841D7">
      <w:pPr>
        <w:autoSpaceDE w:val="0"/>
        <w:autoSpaceDN w:val="0"/>
        <w:adjustRightInd w:val="0"/>
        <w:spacing w:line="276" w:lineRule="auto"/>
        <w:jc w:val="both"/>
        <w:rPr>
          <w:color w:val="231F20"/>
          <w:sz w:val="22"/>
          <w:szCs w:val="22"/>
        </w:rPr>
      </w:pPr>
    </w:p>
    <w:p w:rsidR="004628B6" w:rsidRPr="00FD6193" w:rsidRDefault="00483617" w:rsidP="001841D7">
      <w:pPr>
        <w:autoSpaceDE w:val="0"/>
        <w:autoSpaceDN w:val="0"/>
        <w:adjustRightInd w:val="0"/>
        <w:spacing w:line="276" w:lineRule="auto"/>
        <w:rPr>
          <w:color w:val="231F20"/>
          <w:sz w:val="22"/>
          <w:szCs w:val="22"/>
        </w:rPr>
      </w:pPr>
      <w:r w:rsidRPr="00FD6193">
        <w:rPr>
          <w:b/>
          <w:color w:val="231F20"/>
          <w:sz w:val="22"/>
          <w:szCs w:val="22"/>
        </w:rPr>
        <w:t>ACKNOWLEDG</w:t>
      </w:r>
      <w:r w:rsidR="00565B25">
        <w:rPr>
          <w:b/>
          <w:color w:val="231F20"/>
          <w:sz w:val="22"/>
          <w:szCs w:val="22"/>
        </w:rPr>
        <w:t>MENT</w:t>
      </w:r>
    </w:p>
    <w:p w:rsidR="004575E7" w:rsidRDefault="004575E7" w:rsidP="001841D7">
      <w:pPr>
        <w:autoSpaceDE w:val="0"/>
        <w:autoSpaceDN w:val="0"/>
        <w:adjustRightInd w:val="0"/>
        <w:spacing w:line="276" w:lineRule="auto"/>
        <w:ind w:firstLine="720"/>
        <w:jc w:val="both"/>
        <w:rPr>
          <w:color w:val="000000"/>
          <w:sz w:val="22"/>
          <w:szCs w:val="22"/>
        </w:rPr>
      </w:pPr>
      <w:r w:rsidRPr="00FD6193">
        <w:rPr>
          <w:color w:val="000000"/>
          <w:sz w:val="22"/>
          <w:szCs w:val="22"/>
        </w:rPr>
        <w:t>Thank you, the authors convey to the Education Fund Management Institute (LPDP) for their assistance, both fi</w:t>
      </w:r>
      <w:r w:rsidR="00FA187E" w:rsidRPr="00FD6193">
        <w:rPr>
          <w:color w:val="000000"/>
          <w:sz w:val="22"/>
          <w:szCs w:val="22"/>
        </w:rPr>
        <w:t>nancially and non-financially</w:t>
      </w:r>
      <w:r w:rsidRPr="00FD6193">
        <w:rPr>
          <w:color w:val="000000"/>
          <w:sz w:val="22"/>
          <w:szCs w:val="22"/>
        </w:rPr>
        <w:t xml:space="preserve"> that</w:t>
      </w:r>
      <w:r w:rsidR="00FA187E" w:rsidRPr="00FD6193">
        <w:rPr>
          <w:color w:val="000000"/>
          <w:sz w:val="22"/>
          <w:szCs w:val="22"/>
        </w:rPr>
        <w:t xml:space="preserve"> make it possible for</w:t>
      </w:r>
      <w:r w:rsidRPr="00FD6193">
        <w:rPr>
          <w:color w:val="000000"/>
          <w:sz w:val="22"/>
          <w:szCs w:val="22"/>
        </w:rPr>
        <w:t xml:space="preserve"> </w:t>
      </w:r>
      <w:r w:rsidRPr="00FD6193">
        <w:rPr>
          <w:color w:val="000000"/>
          <w:sz w:val="22"/>
          <w:szCs w:val="22"/>
        </w:rPr>
        <w:lastRenderedPageBreak/>
        <w:t>the authors can publish the results of research related to the farmers’ willingness to accept a compensation to protect agricultural land sustainability in peri-urban areas of Pekalongan City.</w:t>
      </w:r>
    </w:p>
    <w:p w:rsidR="0053312B" w:rsidRDefault="0053312B" w:rsidP="001841D7">
      <w:pPr>
        <w:autoSpaceDE w:val="0"/>
        <w:autoSpaceDN w:val="0"/>
        <w:adjustRightInd w:val="0"/>
        <w:spacing w:line="276" w:lineRule="auto"/>
        <w:jc w:val="both"/>
        <w:rPr>
          <w:color w:val="000000"/>
          <w:sz w:val="22"/>
          <w:szCs w:val="22"/>
        </w:rPr>
      </w:pPr>
    </w:p>
    <w:p w:rsidR="0053312B" w:rsidRDefault="0053312B" w:rsidP="001841D7">
      <w:pPr>
        <w:autoSpaceDE w:val="0"/>
        <w:autoSpaceDN w:val="0"/>
        <w:adjustRightInd w:val="0"/>
        <w:spacing w:line="276" w:lineRule="auto"/>
        <w:rPr>
          <w:b/>
          <w:color w:val="231F20"/>
          <w:sz w:val="22"/>
          <w:szCs w:val="22"/>
        </w:rPr>
      </w:pPr>
      <w:r>
        <w:rPr>
          <w:b/>
          <w:color w:val="231F20"/>
          <w:sz w:val="22"/>
          <w:szCs w:val="22"/>
        </w:rPr>
        <w:t>REFERENCES</w:t>
      </w:r>
    </w:p>
    <w:p w:rsidR="0053312B" w:rsidRDefault="0053312B" w:rsidP="001841D7">
      <w:pPr>
        <w:widowControl w:val="0"/>
        <w:autoSpaceDE w:val="0"/>
        <w:autoSpaceDN w:val="0"/>
        <w:adjustRightInd w:val="0"/>
        <w:spacing w:line="276" w:lineRule="auto"/>
        <w:ind w:left="480" w:hanging="480"/>
        <w:jc w:val="both"/>
        <w:rPr>
          <w:noProof/>
          <w:sz w:val="22"/>
        </w:rPr>
      </w:pPr>
      <w:r>
        <w:rPr>
          <w:color w:val="231F20"/>
          <w:sz w:val="22"/>
          <w:szCs w:val="22"/>
        </w:rPr>
        <w:fldChar w:fldCharType="begin" w:fldLock="1"/>
      </w:r>
      <w:r>
        <w:rPr>
          <w:color w:val="231F20"/>
          <w:sz w:val="22"/>
          <w:szCs w:val="22"/>
        </w:rPr>
        <w:instrText xml:space="preserve">ADDIN Mendeley Bibliography CSL_BIBLIOGRAPHY </w:instrText>
      </w:r>
      <w:r>
        <w:rPr>
          <w:color w:val="231F20"/>
          <w:sz w:val="22"/>
          <w:szCs w:val="22"/>
        </w:rPr>
        <w:fldChar w:fldCharType="separate"/>
      </w:r>
      <w:r w:rsidRPr="0053312B">
        <w:rPr>
          <w:noProof/>
          <w:sz w:val="22"/>
        </w:rPr>
        <w:t xml:space="preserve">Amare, D., Mekuria, W., T/wold, T., Belay, B., Teshome, A., Yitaferu, B., … Tegegn, B. (2016). Perception of local community and the willingness to pay to restore church forests: the case of Dera district, northwestern Ethiopia. </w:t>
      </w:r>
      <w:r w:rsidRPr="0053312B">
        <w:rPr>
          <w:i/>
          <w:iCs/>
          <w:noProof/>
          <w:sz w:val="22"/>
        </w:rPr>
        <w:t>Forests, Trees and Livelihoods</w:t>
      </w:r>
      <w:r w:rsidRPr="0053312B">
        <w:rPr>
          <w:noProof/>
          <w:sz w:val="22"/>
        </w:rPr>
        <w:t xml:space="preserve">, </w:t>
      </w:r>
      <w:r w:rsidRPr="0053312B">
        <w:rPr>
          <w:i/>
          <w:iCs/>
          <w:noProof/>
          <w:sz w:val="22"/>
        </w:rPr>
        <w:t>25</w:t>
      </w:r>
      <w:r w:rsidRPr="0053312B">
        <w:rPr>
          <w:noProof/>
          <w:sz w:val="22"/>
        </w:rPr>
        <w:t>(3), 173–186. https://doi.org/10.1080/14728028.2015.1133330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Amegnaglo, C. J., Anaman, K. A., Mensah-Bonsu, A., Onumah, E. E., &amp; Amoussouga Gero, F. (2017). Contingent valuation study of the benefits of seasonal climate forecasts for maize farmers in the Republic of Benin, West Africa. </w:t>
      </w:r>
      <w:r w:rsidRPr="0053312B">
        <w:rPr>
          <w:i/>
          <w:iCs/>
          <w:noProof/>
          <w:sz w:val="22"/>
        </w:rPr>
        <w:t>Climate Services</w:t>
      </w:r>
      <w:r w:rsidRPr="0053312B">
        <w:rPr>
          <w:noProof/>
          <w:sz w:val="22"/>
        </w:rPr>
        <w:t xml:space="preserve">, </w:t>
      </w:r>
      <w:r w:rsidRPr="0053312B">
        <w:rPr>
          <w:i/>
          <w:iCs/>
          <w:noProof/>
          <w:sz w:val="22"/>
        </w:rPr>
        <w:t>6</w:t>
      </w:r>
      <w:r w:rsidRPr="0053312B">
        <w:rPr>
          <w:noProof/>
          <w:sz w:val="22"/>
        </w:rPr>
        <w:t>(2017), 1–11. https://doi.org/10.1016/j.cliser.2017.06.007</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Aragie, T., &amp; Genanu, S. (2017). Level and determinants of food security in North Wollo Zone (Amhara Region–Ethiopia). </w:t>
      </w:r>
      <w:r w:rsidRPr="0053312B">
        <w:rPr>
          <w:i/>
          <w:iCs/>
          <w:noProof/>
          <w:sz w:val="22"/>
        </w:rPr>
        <w:t>Journal of Food Security</w:t>
      </w:r>
      <w:r w:rsidRPr="0053312B">
        <w:rPr>
          <w:noProof/>
          <w:sz w:val="22"/>
        </w:rPr>
        <w:t xml:space="preserve">, </w:t>
      </w:r>
      <w:r w:rsidRPr="0053312B">
        <w:rPr>
          <w:i/>
          <w:iCs/>
          <w:noProof/>
          <w:sz w:val="22"/>
        </w:rPr>
        <w:t>5</w:t>
      </w:r>
      <w:r w:rsidRPr="0053312B">
        <w:rPr>
          <w:noProof/>
          <w:sz w:val="22"/>
        </w:rPr>
        <w:t>(6), 232–247. https://doi.org/10.12691/jfs-5-6-4</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Aulifia, A., Subejo, S., &amp; Harsoyo, H. (2016). Persepsi anggota grup Facebook “Komunitas Hidroponik Jogja (Hi-Jo)” terhadap pengembangan hidroponik. </w:t>
      </w:r>
      <w:r w:rsidRPr="0053312B">
        <w:rPr>
          <w:i/>
          <w:iCs/>
          <w:noProof/>
          <w:sz w:val="22"/>
        </w:rPr>
        <w:t>Agro Ekonomi</w:t>
      </w:r>
      <w:r w:rsidRPr="0053312B">
        <w:rPr>
          <w:noProof/>
          <w:sz w:val="22"/>
        </w:rPr>
        <w:t xml:space="preserve">, </w:t>
      </w:r>
      <w:r w:rsidRPr="0053312B">
        <w:rPr>
          <w:i/>
          <w:iCs/>
          <w:noProof/>
          <w:sz w:val="22"/>
        </w:rPr>
        <w:t>27</w:t>
      </w:r>
      <w:r w:rsidRPr="0053312B">
        <w:rPr>
          <w:noProof/>
          <w:sz w:val="22"/>
        </w:rPr>
        <w:t>(2), 165–182. https://doi.org/10.22146/jae.22691</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BPS. (2018). </w:t>
      </w:r>
      <w:r w:rsidRPr="0053312B">
        <w:rPr>
          <w:i/>
          <w:iCs/>
          <w:noProof/>
          <w:sz w:val="22"/>
        </w:rPr>
        <w:t>Kota Pekalongan Dalam Angka</w:t>
      </w:r>
      <w:r w:rsidRPr="0053312B">
        <w:rPr>
          <w:noProof/>
          <w:sz w:val="22"/>
        </w:rPr>
        <w:t>. Kota Pekalongan, Jawa Tengah: Badan Pusat Statistik Kota Pekalongan.</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Chen, M., Zhang, H., Liu, W., &amp; Zhang, W. (2014). The global pattern of urbanization and economic growth: Evidence from the last three decades. </w:t>
      </w:r>
      <w:r w:rsidRPr="0053312B">
        <w:rPr>
          <w:i/>
          <w:iCs/>
          <w:noProof/>
          <w:sz w:val="22"/>
        </w:rPr>
        <w:t>PLoS ONE</w:t>
      </w:r>
      <w:r w:rsidRPr="0053312B">
        <w:rPr>
          <w:noProof/>
          <w:sz w:val="22"/>
        </w:rPr>
        <w:t xml:space="preserve">, </w:t>
      </w:r>
      <w:r w:rsidRPr="0053312B">
        <w:rPr>
          <w:i/>
          <w:iCs/>
          <w:noProof/>
          <w:sz w:val="22"/>
        </w:rPr>
        <w:t>9</w:t>
      </w:r>
      <w:r w:rsidRPr="0053312B">
        <w:rPr>
          <w:noProof/>
          <w:sz w:val="22"/>
        </w:rPr>
        <w:t>(8), 1–15. https://doi.org/10.1371/journal.pone.0103799</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Faridhavin, U., Witjaksono, R., &amp; Harsoyo, H. (2016). Persepsi pendamping terhadap pelaksanaan Program Upsus Pajale di Daerah Istimewa Yogyakarta. </w:t>
      </w:r>
      <w:r w:rsidRPr="0053312B">
        <w:rPr>
          <w:i/>
          <w:iCs/>
          <w:noProof/>
          <w:sz w:val="22"/>
        </w:rPr>
        <w:t>Agro Ekonomi</w:t>
      </w:r>
      <w:r w:rsidRPr="0053312B">
        <w:rPr>
          <w:noProof/>
          <w:sz w:val="22"/>
        </w:rPr>
        <w:t xml:space="preserve">, </w:t>
      </w:r>
      <w:r w:rsidRPr="0053312B">
        <w:rPr>
          <w:i/>
          <w:iCs/>
          <w:noProof/>
          <w:sz w:val="22"/>
        </w:rPr>
        <w:t>27</w:t>
      </w:r>
      <w:r w:rsidRPr="0053312B">
        <w:rPr>
          <w:noProof/>
          <w:sz w:val="22"/>
        </w:rPr>
        <w:t>(2), 197–214. https://doi.org/10.22146/jae.22700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Gardi, C., Panagos, P., Van Liedekerke, M., Bosco, C., &amp; de Brogniez, D. (2015). Land Take and Food Security: Assessment of land take on the agricultural production in Europe. </w:t>
      </w:r>
      <w:r w:rsidRPr="0053312B">
        <w:rPr>
          <w:i/>
          <w:iCs/>
          <w:noProof/>
          <w:sz w:val="22"/>
        </w:rPr>
        <w:t>Journal of Environmental Planning and Management</w:t>
      </w:r>
      <w:r w:rsidRPr="0053312B">
        <w:rPr>
          <w:noProof/>
          <w:sz w:val="22"/>
        </w:rPr>
        <w:t xml:space="preserve">, </w:t>
      </w:r>
      <w:r w:rsidRPr="0053312B">
        <w:rPr>
          <w:i/>
          <w:iCs/>
          <w:noProof/>
          <w:sz w:val="22"/>
        </w:rPr>
        <w:t>58</w:t>
      </w:r>
      <w:r w:rsidRPr="0053312B">
        <w:rPr>
          <w:noProof/>
          <w:sz w:val="22"/>
        </w:rPr>
        <w:t>(5), 898–912.</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Ghazouani, T. (2013). The capital structure through the Trade-Off Theory : Evidence from Tunisian firm. </w:t>
      </w:r>
      <w:r w:rsidRPr="0053312B">
        <w:rPr>
          <w:i/>
          <w:iCs/>
          <w:noProof/>
          <w:sz w:val="22"/>
        </w:rPr>
        <w:t>International Journal of Economics and Finance</w:t>
      </w:r>
      <w:r w:rsidRPr="0053312B">
        <w:rPr>
          <w:noProof/>
          <w:sz w:val="22"/>
        </w:rPr>
        <w:t xml:space="preserve">, </w:t>
      </w:r>
      <w:r w:rsidRPr="0053312B">
        <w:rPr>
          <w:i/>
          <w:iCs/>
          <w:noProof/>
          <w:sz w:val="22"/>
        </w:rPr>
        <w:t>3</w:t>
      </w:r>
      <w:r w:rsidRPr="0053312B">
        <w:rPr>
          <w:noProof/>
          <w:sz w:val="22"/>
        </w:rPr>
        <w:t>(3), 625–636.</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Guneralp, B., Lwasa, S., Masundire, H., Parnell, S., &amp; Seto, K. C. (2017). Urbanization in Africa : challenges and opportunities for conservation. </w:t>
      </w:r>
      <w:r w:rsidRPr="0053312B">
        <w:rPr>
          <w:i/>
          <w:iCs/>
          <w:noProof/>
          <w:sz w:val="22"/>
        </w:rPr>
        <w:t>Environmental Reearch Letters</w:t>
      </w:r>
      <w:r w:rsidRPr="0053312B">
        <w:rPr>
          <w:noProof/>
          <w:sz w:val="22"/>
        </w:rPr>
        <w:t xml:space="preserve">, </w:t>
      </w:r>
      <w:r w:rsidRPr="0053312B">
        <w:rPr>
          <w:i/>
          <w:iCs/>
          <w:noProof/>
          <w:sz w:val="22"/>
        </w:rPr>
        <w:t>13</w:t>
      </w:r>
      <w:r w:rsidRPr="0053312B">
        <w:rPr>
          <w:noProof/>
          <w:sz w:val="22"/>
        </w:rPr>
        <w:t>(2018), 1–9.</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Harini, R., Yunus, H. S., Kasto, &amp; Hartono, S. (2012). Agricultural land conversion: Determinants and impact for food sufficiency in Sleman Regency. </w:t>
      </w:r>
      <w:r w:rsidRPr="0053312B">
        <w:rPr>
          <w:i/>
          <w:iCs/>
          <w:noProof/>
          <w:sz w:val="22"/>
        </w:rPr>
        <w:t>Indonesian Journal of Geography</w:t>
      </w:r>
      <w:r w:rsidRPr="0053312B">
        <w:rPr>
          <w:noProof/>
          <w:sz w:val="22"/>
        </w:rPr>
        <w:t xml:space="preserve">, </w:t>
      </w:r>
      <w:r w:rsidRPr="0053312B">
        <w:rPr>
          <w:i/>
          <w:iCs/>
          <w:noProof/>
          <w:sz w:val="22"/>
        </w:rPr>
        <w:t>44</w:t>
      </w:r>
      <w:r w:rsidRPr="0053312B">
        <w:rPr>
          <w:noProof/>
          <w:sz w:val="22"/>
        </w:rPr>
        <w:t>(2), 120–133.</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Haryanto, L. I., Masyhuri, M., &amp; Irham. (2018). The policy analysis matrix in measuring competitiveness of maize farming system in marginal areas. </w:t>
      </w:r>
      <w:r w:rsidRPr="0053312B">
        <w:rPr>
          <w:i/>
          <w:iCs/>
          <w:noProof/>
          <w:sz w:val="22"/>
        </w:rPr>
        <w:t>Jurnal Agro Ekonomi</w:t>
      </w:r>
      <w:r w:rsidRPr="0053312B">
        <w:rPr>
          <w:noProof/>
          <w:sz w:val="22"/>
        </w:rPr>
        <w:t xml:space="preserve">, </w:t>
      </w:r>
      <w:r w:rsidRPr="0053312B">
        <w:rPr>
          <w:i/>
          <w:iCs/>
          <w:noProof/>
          <w:sz w:val="22"/>
        </w:rPr>
        <w:t>29</w:t>
      </w:r>
      <w:r w:rsidRPr="0053312B">
        <w:rPr>
          <w:noProof/>
          <w:sz w:val="22"/>
        </w:rPr>
        <w:t>(2), 244–260.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Jiang, L., &amp; Zhang, Y. (2016). Modeling Urban Expansion and Agricultural Land Conversion in Henan Province, China: An Integration of Land Use and </w:t>
      </w:r>
      <w:r w:rsidRPr="0053312B">
        <w:rPr>
          <w:noProof/>
          <w:sz w:val="22"/>
        </w:rPr>
        <w:lastRenderedPageBreak/>
        <w:t xml:space="preserve">Socioeconomic Data. </w:t>
      </w:r>
      <w:r w:rsidRPr="0053312B">
        <w:rPr>
          <w:i/>
          <w:iCs/>
          <w:noProof/>
          <w:sz w:val="22"/>
        </w:rPr>
        <w:t>Sustainability</w:t>
      </w:r>
      <w:r w:rsidRPr="0053312B">
        <w:rPr>
          <w:noProof/>
          <w:sz w:val="22"/>
        </w:rPr>
        <w:t xml:space="preserve">, </w:t>
      </w:r>
      <w:r w:rsidRPr="0053312B">
        <w:rPr>
          <w:i/>
          <w:iCs/>
          <w:noProof/>
          <w:sz w:val="22"/>
        </w:rPr>
        <w:t>8</w:t>
      </w:r>
      <w:r w:rsidRPr="0053312B">
        <w:rPr>
          <w:noProof/>
          <w:sz w:val="22"/>
        </w:rPr>
        <w:t>(9), 920. https://doi.org/10.3390/su8090920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Jiaran, W., Moucheng, L., Lun, Y., &amp; Qingwen, M. (2018). Factors affecting the willingness of farmers to accept eco-compensation in the Qianxi Chestnut Agroforestry System, Hebei. </w:t>
      </w:r>
      <w:r w:rsidRPr="0053312B">
        <w:rPr>
          <w:i/>
          <w:iCs/>
          <w:noProof/>
          <w:sz w:val="22"/>
        </w:rPr>
        <w:t>Journal of Resources and Ecology</w:t>
      </w:r>
      <w:r w:rsidRPr="0053312B">
        <w:rPr>
          <w:noProof/>
          <w:sz w:val="22"/>
        </w:rPr>
        <w:t xml:space="preserve">, </w:t>
      </w:r>
      <w:r w:rsidRPr="0053312B">
        <w:rPr>
          <w:i/>
          <w:iCs/>
          <w:noProof/>
          <w:sz w:val="22"/>
        </w:rPr>
        <w:t>9</w:t>
      </w:r>
      <w:r w:rsidRPr="0053312B">
        <w:rPr>
          <w:noProof/>
          <w:sz w:val="22"/>
        </w:rPr>
        <w:t>(4), 407–415. https://doi.org/10.5814/j.issn.1674-764x.2018.04.008</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Lawalata, M., Darwanto, D. H., &amp; Hartono, S. (2017). Risiko Usahatani Bawang Merah di Kabupaten Bantul. </w:t>
      </w:r>
      <w:r w:rsidRPr="0053312B">
        <w:rPr>
          <w:i/>
          <w:iCs/>
          <w:noProof/>
          <w:sz w:val="22"/>
        </w:rPr>
        <w:t>Agrica (Jurnal Agribisnis Sumatera Utara)</w:t>
      </w:r>
      <w:r w:rsidRPr="0053312B">
        <w:rPr>
          <w:noProof/>
          <w:sz w:val="22"/>
        </w:rPr>
        <w:t xml:space="preserve">, </w:t>
      </w:r>
      <w:r w:rsidRPr="0053312B">
        <w:rPr>
          <w:i/>
          <w:iCs/>
          <w:noProof/>
          <w:sz w:val="22"/>
        </w:rPr>
        <w:t>10</w:t>
      </w:r>
      <w:r w:rsidRPr="0053312B">
        <w:rPr>
          <w:noProof/>
          <w:sz w:val="22"/>
        </w:rPr>
        <w:t>(1), 56–73. Retrieved from http://ojs.uma.ac.id/index.php/agrica</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Motta, R. S. da, &amp; Ortiz, R. A. (2018). Costs and perceptions conditioning willingness to accept payments for ecosystem services in a Brazilian Case. </w:t>
      </w:r>
      <w:r w:rsidRPr="0053312B">
        <w:rPr>
          <w:i/>
          <w:iCs/>
          <w:noProof/>
          <w:sz w:val="22"/>
        </w:rPr>
        <w:t>Ecological Economics</w:t>
      </w:r>
      <w:r w:rsidRPr="0053312B">
        <w:rPr>
          <w:noProof/>
          <w:sz w:val="22"/>
        </w:rPr>
        <w:t xml:space="preserve">, </w:t>
      </w:r>
      <w:r w:rsidRPr="0053312B">
        <w:rPr>
          <w:i/>
          <w:iCs/>
          <w:noProof/>
          <w:sz w:val="22"/>
        </w:rPr>
        <w:t>147</w:t>
      </w:r>
      <w:r w:rsidRPr="0053312B">
        <w:rPr>
          <w:noProof/>
          <w:sz w:val="22"/>
        </w:rPr>
        <w:t>(May 2017), 333–342. https://doi.org/10.1016/j.ecolecon.2018.01.032</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Nyongesa, J. M., Bett, H. K., Lagat, J. K., &amp; Ayuya, O. I. (2016). Estimating farmers’ stated willingness to accept pay for ecosystem services: Case of Lake Naivasha watershed Payment for Ecosystem Services scheme-Kenya. </w:t>
      </w:r>
      <w:r w:rsidRPr="0053312B">
        <w:rPr>
          <w:i/>
          <w:iCs/>
          <w:noProof/>
          <w:sz w:val="22"/>
        </w:rPr>
        <w:t>Ecological Processes</w:t>
      </w:r>
      <w:r w:rsidRPr="0053312B">
        <w:rPr>
          <w:noProof/>
          <w:sz w:val="22"/>
        </w:rPr>
        <w:t xml:space="preserve">, </w:t>
      </w:r>
      <w:r w:rsidRPr="0053312B">
        <w:rPr>
          <w:i/>
          <w:iCs/>
          <w:noProof/>
          <w:sz w:val="22"/>
        </w:rPr>
        <w:t>5</w:t>
      </w:r>
      <w:r w:rsidRPr="0053312B">
        <w:rPr>
          <w:noProof/>
          <w:sz w:val="22"/>
        </w:rPr>
        <w:t>(1), 1–15. https://doi.org/10.1186/s13717-016-0059-z</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Pham, V. C., Pham, T. T. H., Tong, T. H. A., Nguyen, T. T. H., &amp; Pham, N. H. (2015). The conversion of agricultural land in the peri-urban areas of Hanoi (Vietnam): Patterns in space and time. </w:t>
      </w:r>
      <w:r w:rsidRPr="0053312B">
        <w:rPr>
          <w:i/>
          <w:iCs/>
          <w:noProof/>
          <w:sz w:val="22"/>
        </w:rPr>
        <w:t>Journal of Land Use Science</w:t>
      </w:r>
      <w:r w:rsidRPr="0053312B">
        <w:rPr>
          <w:noProof/>
          <w:sz w:val="22"/>
        </w:rPr>
        <w:t xml:space="preserve">, </w:t>
      </w:r>
      <w:r w:rsidRPr="0053312B">
        <w:rPr>
          <w:i/>
          <w:iCs/>
          <w:noProof/>
          <w:sz w:val="22"/>
        </w:rPr>
        <w:t>10</w:t>
      </w:r>
      <w:r w:rsidRPr="0053312B">
        <w:rPr>
          <w:noProof/>
          <w:sz w:val="22"/>
        </w:rPr>
        <w:t>(2), 224–242. https://doi.org/10.1080/1747423X.2014.884643</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Prasada, I. M. Y., Dhamira, A., &amp; Nugroho, A. D. (2018). Supply Response of Paddy in East Java : Policy Implications to Increase Rice Production. </w:t>
      </w:r>
      <w:r w:rsidRPr="0053312B">
        <w:rPr>
          <w:i/>
          <w:iCs/>
          <w:noProof/>
          <w:sz w:val="22"/>
        </w:rPr>
        <w:t>AGRARIS: Journal of Agribusiness and Rural Development Research</w:t>
      </w:r>
      <w:r w:rsidRPr="0053312B">
        <w:rPr>
          <w:noProof/>
          <w:sz w:val="22"/>
        </w:rPr>
        <w:t xml:space="preserve">, </w:t>
      </w:r>
      <w:r w:rsidRPr="0053312B">
        <w:rPr>
          <w:i/>
          <w:iCs/>
          <w:noProof/>
          <w:sz w:val="22"/>
        </w:rPr>
        <w:t>4</w:t>
      </w:r>
      <w:r w:rsidRPr="0053312B">
        <w:rPr>
          <w:noProof/>
          <w:sz w:val="22"/>
        </w:rPr>
        <w:t>(2), 129–138.</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Septian, D., &amp; Anugrah, G. C. (2014). Perindungan petani melalui konsep asuransi pada Gabungan Kelompok Tani Desa Argorejo, Kabupaten Bantul. </w:t>
      </w:r>
      <w:r w:rsidRPr="0053312B">
        <w:rPr>
          <w:i/>
          <w:iCs/>
          <w:noProof/>
          <w:sz w:val="22"/>
        </w:rPr>
        <w:t>Jurnal Penelitian Hukum</w:t>
      </w:r>
      <w:r w:rsidRPr="0053312B">
        <w:rPr>
          <w:noProof/>
          <w:sz w:val="22"/>
        </w:rPr>
        <w:t xml:space="preserve">, </w:t>
      </w:r>
      <w:r w:rsidRPr="0053312B">
        <w:rPr>
          <w:i/>
          <w:iCs/>
          <w:noProof/>
          <w:sz w:val="22"/>
        </w:rPr>
        <w:t>1</w:t>
      </w:r>
      <w:r w:rsidRPr="0053312B">
        <w:rPr>
          <w:noProof/>
          <w:sz w:val="22"/>
        </w:rPr>
        <w:t>(2), 92–108.</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Sudirman, S. (2012). Valuasi ekonomi dampak konversi lahan pertanian di pinggiran Kota Yogyakarta. </w:t>
      </w:r>
      <w:r w:rsidRPr="0053312B">
        <w:rPr>
          <w:i/>
          <w:iCs/>
          <w:noProof/>
          <w:sz w:val="22"/>
        </w:rPr>
        <w:t>AGRIKA</w:t>
      </w:r>
      <w:r w:rsidRPr="0053312B">
        <w:rPr>
          <w:noProof/>
          <w:sz w:val="22"/>
        </w:rPr>
        <w:t xml:space="preserve">, </w:t>
      </w:r>
      <w:r w:rsidRPr="0053312B">
        <w:rPr>
          <w:i/>
          <w:iCs/>
          <w:noProof/>
          <w:sz w:val="22"/>
        </w:rPr>
        <w:t>6</w:t>
      </w:r>
      <w:r w:rsidRPr="0053312B">
        <w:rPr>
          <w:noProof/>
          <w:sz w:val="22"/>
        </w:rPr>
        <w:t>(1), 103–125.</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Suharyanto, S., Rinaldy, J., &amp; Ngurah Arya, N. (2015). Analisis Risiko Produksi Usahatani Padi Sawah. </w:t>
      </w:r>
      <w:r w:rsidRPr="0053312B">
        <w:rPr>
          <w:i/>
          <w:iCs/>
          <w:noProof/>
          <w:sz w:val="22"/>
        </w:rPr>
        <w:t>AGRARIS: Journal of Agribusiness and Rural Development Research</w:t>
      </w:r>
      <w:r w:rsidRPr="0053312B">
        <w:rPr>
          <w:noProof/>
          <w:sz w:val="22"/>
        </w:rPr>
        <w:t xml:space="preserve">, </w:t>
      </w:r>
      <w:r w:rsidRPr="0053312B">
        <w:rPr>
          <w:i/>
          <w:iCs/>
          <w:noProof/>
          <w:sz w:val="22"/>
        </w:rPr>
        <w:t>1</w:t>
      </w:r>
      <w:r w:rsidRPr="0053312B">
        <w:rPr>
          <w:noProof/>
          <w:sz w:val="22"/>
        </w:rPr>
        <w:t>(2), 70–77. https://doi.org/10.18196/agr.1210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Sun, Y., &amp; Akiyama, T. (2018). An empirical study on sustainable agriculture land use right transfer in the Heihe River Basin. </w:t>
      </w:r>
      <w:r w:rsidRPr="0053312B">
        <w:rPr>
          <w:i/>
          <w:iCs/>
          <w:noProof/>
          <w:sz w:val="22"/>
        </w:rPr>
        <w:t>Sustainability (Switzerland)</w:t>
      </w:r>
      <w:r w:rsidRPr="0053312B">
        <w:rPr>
          <w:noProof/>
          <w:sz w:val="22"/>
        </w:rPr>
        <w:t xml:space="preserve">, </w:t>
      </w:r>
      <w:r w:rsidRPr="0053312B">
        <w:rPr>
          <w:i/>
          <w:iCs/>
          <w:noProof/>
          <w:sz w:val="22"/>
        </w:rPr>
        <w:t>10</w:t>
      </w:r>
      <w:r w:rsidRPr="0053312B">
        <w:rPr>
          <w:noProof/>
          <w:sz w:val="22"/>
        </w:rPr>
        <w:t>(2), 1–13. https://doi.org/10.3390/su10020450</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Szabo, S. (2016). Urbanisation and food insecurity risks: Assessing the role of human development. </w:t>
      </w:r>
      <w:r w:rsidRPr="0053312B">
        <w:rPr>
          <w:i/>
          <w:iCs/>
          <w:noProof/>
          <w:sz w:val="22"/>
        </w:rPr>
        <w:t>Oxford Development Studies</w:t>
      </w:r>
      <w:r w:rsidRPr="0053312B">
        <w:rPr>
          <w:noProof/>
          <w:sz w:val="22"/>
        </w:rPr>
        <w:t xml:space="preserve">, </w:t>
      </w:r>
      <w:r w:rsidRPr="0053312B">
        <w:rPr>
          <w:i/>
          <w:iCs/>
          <w:noProof/>
          <w:sz w:val="22"/>
        </w:rPr>
        <w:t>44</w:t>
      </w:r>
      <w:r w:rsidRPr="0053312B">
        <w:rPr>
          <w:noProof/>
          <w:sz w:val="22"/>
        </w:rPr>
        <w:t>(1), 28–48. https://doi.org/10.1080/13600818.2015.1067292</w:t>
      </w:r>
    </w:p>
    <w:p w:rsid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Xiangzheng, D., Zhihui, L., &amp; Gibson, J. (2016). A review on trade-off analysis of ecosystem services for sustainable land-use management. </w:t>
      </w:r>
      <w:r w:rsidRPr="0053312B">
        <w:rPr>
          <w:i/>
          <w:iCs/>
          <w:noProof/>
          <w:sz w:val="22"/>
        </w:rPr>
        <w:t>Journal of Geographical Sciences</w:t>
      </w:r>
      <w:r w:rsidRPr="0053312B">
        <w:rPr>
          <w:noProof/>
          <w:sz w:val="22"/>
        </w:rPr>
        <w:t xml:space="preserve">, </w:t>
      </w:r>
      <w:r w:rsidRPr="0053312B">
        <w:rPr>
          <w:i/>
          <w:iCs/>
          <w:noProof/>
          <w:sz w:val="22"/>
        </w:rPr>
        <w:t>26</w:t>
      </w:r>
      <w:r w:rsidRPr="0053312B">
        <w:rPr>
          <w:noProof/>
          <w:sz w:val="22"/>
        </w:rPr>
        <w:t>(7), 953–968. Retrieved from http://www.geogsci.com/article/2016/1009-637X/38416#outline_anchor_1</w:t>
      </w:r>
    </w:p>
    <w:p w:rsidR="0053312B" w:rsidRPr="0053312B" w:rsidRDefault="0053312B" w:rsidP="001841D7">
      <w:pPr>
        <w:widowControl w:val="0"/>
        <w:autoSpaceDE w:val="0"/>
        <w:autoSpaceDN w:val="0"/>
        <w:adjustRightInd w:val="0"/>
        <w:spacing w:line="276" w:lineRule="auto"/>
        <w:ind w:left="480" w:hanging="480"/>
        <w:jc w:val="both"/>
        <w:rPr>
          <w:noProof/>
          <w:sz w:val="22"/>
        </w:rPr>
      </w:pPr>
      <w:r w:rsidRPr="0053312B">
        <w:rPr>
          <w:noProof/>
          <w:sz w:val="22"/>
        </w:rPr>
        <w:t xml:space="preserve">Yasar, M., &amp; Siwar, C. (2016). Paddy Field Conversion in Malaysia : Issues and Challenges. </w:t>
      </w:r>
      <w:r w:rsidRPr="0053312B">
        <w:rPr>
          <w:i/>
          <w:iCs/>
          <w:noProof/>
          <w:sz w:val="22"/>
        </w:rPr>
        <w:t>Rona Teknik Pertanian</w:t>
      </w:r>
      <w:r w:rsidRPr="0053312B">
        <w:rPr>
          <w:noProof/>
          <w:sz w:val="22"/>
        </w:rPr>
        <w:t xml:space="preserve">, </w:t>
      </w:r>
      <w:r w:rsidRPr="0053312B">
        <w:rPr>
          <w:i/>
          <w:iCs/>
          <w:noProof/>
          <w:sz w:val="22"/>
        </w:rPr>
        <w:t>9</w:t>
      </w:r>
      <w:r w:rsidRPr="0053312B">
        <w:rPr>
          <w:noProof/>
          <w:sz w:val="22"/>
        </w:rPr>
        <w:t>(2), 168–177.</w:t>
      </w:r>
    </w:p>
    <w:p w:rsidR="0053312B" w:rsidRPr="00B33DF8" w:rsidRDefault="0053312B" w:rsidP="001841D7">
      <w:pPr>
        <w:autoSpaceDE w:val="0"/>
        <w:autoSpaceDN w:val="0"/>
        <w:adjustRightInd w:val="0"/>
        <w:spacing w:line="276" w:lineRule="auto"/>
        <w:jc w:val="both"/>
        <w:rPr>
          <w:color w:val="231F20"/>
          <w:sz w:val="22"/>
          <w:szCs w:val="22"/>
        </w:rPr>
      </w:pPr>
      <w:r>
        <w:rPr>
          <w:color w:val="231F20"/>
          <w:sz w:val="22"/>
          <w:szCs w:val="22"/>
        </w:rPr>
        <w:fldChar w:fldCharType="end"/>
      </w:r>
    </w:p>
    <w:sectPr w:rsidR="0053312B" w:rsidRPr="00B33DF8" w:rsidSect="001841D7">
      <w:type w:val="continuous"/>
      <w:pgSz w:w="11907" w:h="16840" w:code="9"/>
      <w:pgMar w:top="2268" w:right="1701" w:bottom="1701" w:left="2268" w:header="720" w:footer="720" w:gutter="0"/>
      <w:cols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690" w:rsidRDefault="00595690">
      <w:r>
        <w:separator/>
      </w:r>
    </w:p>
  </w:endnote>
  <w:endnote w:type="continuationSeparator" w:id="0">
    <w:p w:rsidR="00595690" w:rsidRDefault="0059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690" w:rsidRDefault="00595690">
      <w:r>
        <w:separator/>
      </w:r>
    </w:p>
  </w:footnote>
  <w:footnote w:type="continuationSeparator" w:id="0">
    <w:p w:rsidR="00595690" w:rsidRDefault="0059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E09"/>
    <w:multiLevelType w:val="hybridMultilevel"/>
    <w:tmpl w:val="5124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F5369"/>
    <w:multiLevelType w:val="hybridMultilevel"/>
    <w:tmpl w:val="8EBC5376"/>
    <w:lvl w:ilvl="0" w:tplc="D73220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765C1F"/>
    <w:multiLevelType w:val="hybridMultilevel"/>
    <w:tmpl w:val="E194AD8C"/>
    <w:lvl w:ilvl="0" w:tplc="D9867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E6B01"/>
    <w:multiLevelType w:val="hybridMultilevel"/>
    <w:tmpl w:val="08142F1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43E3F1B"/>
    <w:multiLevelType w:val="hybridMultilevel"/>
    <w:tmpl w:val="78ACE618"/>
    <w:lvl w:ilvl="0" w:tplc="6F72E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B5F6E"/>
    <w:multiLevelType w:val="hybridMultilevel"/>
    <w:tmpl w:val="D7CC320E"/>
    <w:lvl w:ilvl="0" w:tplc="E258CAE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E48DC"/>
    <w:multiLevelType w:val="hybridMultilevel"/>
    <w:tmpl w:val="A61E5082"/>
    <w:lvl w:ilvl="0" w:tplc="55167F5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22C0"/>
    <w:multiLevelType w:val="hybridMultilevel"/>
    <w:tmpl w:val="981AB070"/>
    <w:lvl w:ilvl="0" w:tplc="31ECBC0C">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90F97"/>
    <w:multiLevelType w:val="hybridMultilevel"/>
    <w:tmpl w:val="6EE24A3C"/>
    <w:lvl w:ilvl="0" w:tplc="B2E6C080">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23E0D"/>
    <w:multiLevelType w:val="hybridMultilevel"/>
    <w:tmpl w:val="A69E77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3D0A14"/>
    <w:multiLevelType w:val="hybridMultilevel"/>
    <w:tmpl w:val="98DCD18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B414BC"/>
    <w:multiLevelType w:val="hybridMultilevel"/>
    <w:tmpl w:val="4FAA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8"/>
  </w:num>
  <w:num w:numId="5">
    <w:abstractNumId w:val="2"/>
  </w:num>
  <w:num w:numId="6">
    <w:abstractNumId w:val="4"/>
  </w:num>
  <w:num w:numId="7">
    <w:abstractNumId w:val="5"/>
  </w:num>
  <w:num w:numId="8">
    <w:abstractNumId w:val="0"/>
  </w:num>
  <w:num w:numId="9">
    <w:abstractNumId w:val="7"/>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ID" w:vendorID="64" w:dllVersion="0" w:nlCheck="1" w:checkStyle="1"/>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87"/>
    <w:rsid w:val="000024EB"/>
    <w:rsid w:val="00007C83"/>
    <w:rsid w:val="00014D14"/>
    <w:rsid w:val="00015687"/>
    <w:rsid w:val="0002193A"/>
    <w:rsid w:val="00040C35"/>
    <w:rsid w:val="0005111C"/>
    <w:rsid w:val="00061DC8"/>
    <w:rsid w:val="00067310"/>
    <w:rsid w:val="000926EE"/>
    <w:rsid w:val="000A2373"/>
    <w:rsid w:val="000A4DA6"/>
    <w:rsid w:val="000B4F45"/>
    <w:rsid w:val="000B5A49"/>
    <w:rsid w:val="000B6485"/>
    <w:rsid w:val="000B7F5F"/>
    <w:rsid w:val="000C247D"/>
    <w:rsid w:val="000C3A77"/>
    <w:rsid w:val="000C6121"/>
    <w:rsid w:val="000D55C5"/>
    <w:rsid w:val="000D6EFF"/>
    <w:rsid w:val="000E253E"/>
    <w:rsid w:val="000E2C0C"/>
    <w:rsid w:val="000E369A"/>
    <w:rsid w:val="000E5B15"/>
    <w:rsid w:val="000E7AF2"/>
    <w:rsid w:val="000F27CA"/>
    <w:rsid w:val="000F730A"/>
    <w:rsid w:val="0010271A"/>
    <w:rsid w:val="001217F9"/>
    <w:rsid w:val="001232BB"/>
    <w:rsid w:val="00132A9F"/>
    <w:rsid w:val="00132EFE"/>
    <w:rsid w:val="0015271A"/>
    <w:rsid w:val="00162B1B"/>
    <w:rsid w:val="0016315C"/>
    <w:rsid w:val="00180247"/>
    <w:rsid w:val="001841D7"/>
    <w:rsid w:val="00197738"/>
    <w:rsid w:val="001A48ED"/>
    <w:rsid w:val="001A5B5B"/>
    <w:rsid w:val="001B288C"/>
    <w:rsid w:val="001B2F08"/>
    <w:rsid w:val="001B3D37"/>
    <w:rsid w:val="001B73B8"/>
    <w:rsid w:val="001C56AE"/>
    <w:rsid w:val="001D080D"/>
    <w:rsid w:val="001D1938"/>
    <w:rsid w:val="001D2637"/>
    <w:rsid w:val="001D5B57"/>
    <w:rsid w:val="001D61C0"/>
    <w:rsid w:val="001E2525"/>
    <w:rsid w:val="001F28E1"/>
    <w:rsid w:val="002102B6"/>
    <w:rsid w:val="00215D3E"/>
    <w:rsid w:val="00216FBB"/>
    <w:rsid w:val="00217BB6"/>
    <w:rsid w:val="002263A1"/>
    <w:rsid w:val="00231680"/>
    <w:rsid w:val="00236827"/>
    <w:rsid w:val="002445A8"/>
    <w:rsid w:val="00244BBC"/>
    <w:rsid w:val="00246630"/>
    <w:rsid w:val="0025056E"/>
    <w:rsid w:val="00251C39"/>
    <w:rsid w:val="0027327C"/>
    <w:rsid w:val="002A1F62"/>
    <w:rsid w:val="002A5033"/>
    <w:rsid w:val="002B5452"/>
    <w:rsid w:val="002B5C80"/>
    <w:rsid w:val="002D0E7E"/>
    <w:rsid w:val="002D6422"/>
    <w:rsid w:val="002E036F"/>
    <w:rsid w:val="002F3379"/>
    <w:rsid w:val="0030449A"/>
    <w:rsid w:val="00310FD7"/>
    <w:rsid w:val="00314D42"/>
    <w:rsid w:val="00316F46"/>
    <w:rsid w:val="00332DEE"/>
    <w:rsid w:val="0033511A"/>
    <w:rsid w:val="00335445"/>
    <w:rsid w:val="003354E0"/>
    <w:rsid w:val="00343495"/>
    <w:rsid w:val="0035689C"/>
    <w:rsid w:val="00362744"/>
    <w:rsid w:val="00377B6D"/>
    <w:rsid w:val="0038191F"/>
    <w:rsid w:val="0039572A"/>
    <w:rsid w:val="003A45C1"/>
    <w:rsid w:val="003A6946"/>
    <w:rsid w:val="003B12EC"/>
    <w:rsid w:val="003C62D2"/>
    <w:rsid w:val="003F0A7C"/>
    <w:rsid w:val="003F7593"/>
    <w:rsid w:val="00416938"/>
    <w:rsid w:val="004253FD"/>
    <w:rsid w:val="004321CD"/>
    <w:rsid w:val="00440ED5"/>
    <w:rsid w:val="00442277"/>
    <w:rsid w:val="00443A92"/>
    <w:rsid w:val="004511E7"/>
    <w:rsid w:val="004575E7"/>
    <w:rsid w:val="004602B7"/>
    <w:rsid w:val="004613E9"/>
    <w:rsid w:val="004628B6"/>
    <w:rsid w:val="00462CC6"/>
    <w:rsid w:val="00463DF7"/>
    <w:rsid w:val="00465F14"/>
    <w:rsid w:val="00483617"/>
    <w:rsid w:val="004902A2"/>
    <w:rsid w:val="00491714"/>
    <w:rsid w:val="00493BC0"/>
    <w:rsid w:val="004A170A"/>
    <w:rsid w:val="004A4B0C"/>
    <w:rsid w:val="004A5833"/>
    <w:rsid w:val="004B0349"/>
    <w:rsid w:val="004B6872"/>
    <w:rsid w:val="004C04A4"/>
    <w:rsid w:val="004C509D"/>
    <w:rsid w:val="004C7F44"/>
    <w:rsid w:val="004D14B4"/>
    <w:rsid w:val="004D2BDA"/>
    <w:rsid w:val="004D6C7E"/>
    <w:rsid w:val="004E0F87"/>
    <w:rsid w:val="004E4C53"/>
    <w:rsid w:val="00515100"/>
    <w:rsid w:val="005214DD"/>
    <w:rsid w:val="005242E4"/>
    <w:rsid w:val="00524E5B"/>
    <w:rsid w:val="0053312B"/>
    <w:rsid w:val="00545C6D"/>
    <w:rsid w:val="005564B9"/>
    <w:rsid w:val="00560C8A"/>
    <w:rsid w:val="00561D52"/>
    <w:rsid w:val="00562CBE"/>
    <w:rsid w:val="00565B25"/>
    <w:rsid w:val="00574958"/>
    <w:rsid w:val="005805C5"/>
    <w:rsid w:val="00582D24"/>
    <w:rsid w:val="005928CB"/>
    <w:rsid w:val="005942D0"/>
    <w:rsid w:val="00595690"/>
    <w:rsid w:val="00596368"/>
    <w:rsid w:val="00597687"/>
    <w:rsid w:val="00597957"/>
    <w:rsid w:val="005B455F"/>
    <w:rsid w:val="005B6C39"/>
    <w:rsid w:val="005C21F4"/>
    <w:rsid w:val="005C5B09"/>
    <w:rsid w:val="005D5F72"/>
    <w:rsid w:val="005D74BD"/>
    <w:rsid w:val="005E0010"/>
    <w:rsid w:val="005E31DB"/>
    <w:rsid w:val="005E3C55"/>
    <w:rsid w:val="005F3AD2"/>
    <w:rsid w:val="005F73F3"/>
    <w:rsid w:val="00603EEA"/>
    <w:rsid w:val="006072B8"/>
    <w:rsid w:val="00607C66"/>
    <w:rsid w:val="0062038F"/>
    <w:rsid w:val="006271BE"/>
    <w:rsid w:val="0063747E"/>
    <w:rsid w:val="006468BB"/>
    <w:rsid w:val="00651FC1"/>
    <w:rsid w:val="006636B3"/>
    <w:rsid w:val="00676ABF"/>
    <w:rsid w:val="006C613A"/>
    <w:rsid w:val="006C7B60"/>
    <w:rsid w:val="006D2866"/>
    <w:rsid w:val="006D395D"/>
    <w:rsid w:val="006E0AEA"/>
    <w:rsid w:val="007014D9"/>
    <w:rsid w:val="007107C0"/>
    <w:rsid w:val="00712D67"/>
    <w:rsid w:val="0071783E"/>
    <w:rsid w:val="00721793"/>
    <w:rsid w:val="00722F9D"/>
    <w:rsid w:val="00723591"/>
    <w:rsid w:val="00727938"/>
    <w:rsid w:val="00731A03"/>
    <w:rsid w:val="007377EC"/>
    <w:rsid w:val="007415CA"/>
    <w:rsid w:val="00746CFE"/>
    <w:rsid w:val="00752056"/>
    <w:rsid w:val="00762E80"/>
    <w:rsid w:val="00772893"/>
    <w:rsid w:val="00775E98"/>
    <w:rsid w:val="00780F4C"/>
    <w:rsid w:val="00785E12"/>
    <w:rsid w:val="0078676F"/>
    <w:rsid w:val="007A62D0"/>
    <w:rsid w:val="007A775D"/>
    <w:rsid w:val="007B3AAB"/>
    <w:rsid w:val="007B40FB"/>
    <w:rsid w:val="007B76F1"/>
    <w:rsid w:val="007C662D"/>
    <w:rsid w:val="007D0B8A"/>
    <w:rsid w:val="007D3EA7"/>
    <w:rsid w:val="007D55E9"/>
    <w:rsid w:val="007D6C0B"/>
    <w:rsid w:val="007E34F0"/>
    <w:rsid w:val="007E6D13"/>
    <w:rsid w:val="007E77D5"/>
    <w:rsid w:val="007E7D31"/>
    <w:rsid w:val="007F250B"/>
    <w:rsid w:val="007F4763"/>
    <w:rsid w:val="00800A78"/>
    <w:rsid w:val="0080218E"/>
    <w:rsid w:val="008109AD"/>
    <w:rsid w:val="0081530B"/>
    <w:rsid w:val="008229E2"/>
    <w:rsid w:val="00827620"/>
    <w:rsid w:val="00827BBD"/>
    <w:rsid w:val="008320BA"/>
    <w:rsid w:val="00842375"/>
    <w:rsid w:val="008507B7"/>
    <w:rsid w:val="008526E5"/>
    <w:rsid w:val="008571C4"/>
    <w:rsid w:val="008673A9"/>
    <w:rsid w:val="00872CE0"/>
    <w:rsid w:val="00876861"/>
    <w:rsid w:val="00876997"/>
    <w:rsid w:val="0087731C"/>
    <w:rsid w:val="00885A0D"/>
    <w:rsid w:val="008924A8"/>
    <w:rsid w:val="00892610"/>
    <w:rsid w:val="00894D26"/>
    <w:rsid w:val="00896730"/>
    <w:rsid w:val="008B430A"/>
    <w:rsid w:val="008B53A7"/>
    <w:rsid w:val="008C2425"/>
    <w:rsid w:val="008C57CF"/>
    <w:rsid w:val="008C7A7D"/>
    <w:rsid w:val="008C7DFD"/>
    <w:rsid w:val="008D430F"/>
    <w:rsid w:val="008D76F5"/>
    <w:rsid w:val="008E2342"/>
    <w:rsid w:val="008E4A81"/>
    <w:rsid w:val="008E5729"/>
    <w:rsid w:val="008E6207"/>
    <w:rsid w:val="008E6322"/>
    <w:rsid w:val="008E68A7"/>
    <w:rsid w:val="008F10C5"/>
    <w:rsid w:val="008F32F6"/>
    <w:rsid w:val="008F699B"/>
    <w:rsid w:val="00900A66"/>
    <w:rsid w:val="00916368"/>
    <w:rsid w:val="0092164E"/>
    <w:rsid w:val="009224B1"/>
    <w:rsid w:val="00922934"/>
    <w:rsid w:val="009365EA"/>
    <w:rsid w:val="00936E41"/>
    <w:rsid w:val="00940CFE"/>
    <w:rsid w:val="00953192"/>
    <w:rsid w:val="00956498"/>
    <w:rsid w:val="00957D73"/>
    <w:rsid w:val="009617A4"/>
    <w:rsid w:val="009647E3"/>
    <w:rsid w:val="009667CA"/>
    <w:rsid w:val="00966912"/>
    <w:rsid w:val="00971361"/>
    <w:rsid w:val="00972010"/>
    <w:rsid w:val="0097210C"/>
    <w:rsid w:val="009740B1"/>
    <w:rsid w:val="009921F0"/>
    <w:rsid w:val="009A02DA"/>
    <w:rsid w:val="009B4498"/>
    <w:rsid w:val="009B6F67"/>
    <w:rsid w:val="009C0572"/>
    <w:rsid w:val="009C5B3C"/>
    <w:rsid w:val="009C698B"/>
    <w:rsid w:val="009C7FF3"/>
    <w:rsid w:val="009D69AD"/>
    <w:rsid w:val="009F6D76"/>
    <w:rsid w:val="00A02662"/>
    <w:rsid w:val="00A17671"/>
    <w:rsid w:val="00A20338"/>
    <w:rsid w:val="00A2327A"/>
    <w:rsid w:val="00A36195"/>
    <w:rsid w:val="00A37CD2"/>
    <w:rsid w:val="00A61307"/>
    <w:rsid w:val="00A6737F"/>
    <w:rsid w:val="00A72C0F"/>
    <w:rsid w:val="00A73412"/>
    <w:rsid w:val="00A75724"/>
    <w:rsid w:val="00A87FE8"/>
    <w:rsid w:val="00AB3CBB"/>
    <w:rsid w:val="00AB6FBE"/>
    <w:rsid w:val="00AC081B"/>
    <w:rsid w:val="00AD02CE"/>
    <w:rsid w:val="00AD7457"/>
    <w:rsid w:val="00AF6265"/>
    <w:rsid w:val="00B01820"/>
    <w:rsid w:val="00B108CA"/>
    <w:rsid w:val="00B15447"/>
    <w:rsid w:val="00B16846"/>
    <w:rsid w:val="00B33DF8"/>
    <w:rsid w:val="00B411A2"/>
    <w:rsid w:val="00B46211"/>
    <w:rsid w:val="00B571EC"/>
    <w:rsid w:val="00B66D2A"/>
    <w:rsid w:val="00B86B4B"/>
    <w:rsid w:val="00B917EE"/>
    <w:rsid w:val="00BA5538"/>
    <w:rsid w:val="00BA6312"/>
    <w:rsid w:val="00BB76F6"/>
    <w:rsid w:val="00BC6431"/>
    <w:rsid w:val="00BE3F71"/>
    <w:rsid w:val="00BE611D"/>
    <w:rsid w:val="00BE6CA5"/>
    <w:rsid w:val="00BE7692"/>
    <w:rsid w:val="00BF408E"/>
    <w:rsid w:val="00BF47D5"/>
    <w:rsid w:val="00C1711A"/>
    <w:rsid w:val="00C259E4"/>
    <w:rsid w:val="00C30870"/>
    <w:rsid w:val="00C375F1"/>
    <w:rsid w:val="00C53578"/>
    <w:rsid w:val="00C5553F"/>
    <w:rsid w:val="00C6035C"/>
    <w:rsid w:val="00C742E4"/>
    <w:rsid w:val="00C74352"/>
    <w:rsid w:val="00C74FF6"/>
    <w:rsid w:val="00C75818"/>
    <w:rsid w:val="00C85C90"/>
    <w:rsid w:val="00C85D56"/>
    <w:rsid w:val="00C8700B"/>
    <w:rsid w:val="00C95653"/>
    <w:rsid w:val="00CA3825"/>
    <w:rsid w:val="00CB1E02"/>
    <w:rsid w:val="00CB2A8E"/>
    <w:rsid w:val="00CD5F85"/>
    <w:rsid w:val="00CD6B40"/>
    <w:rsid w:val="00CD7D29"/>
    <w:rsid w:val="00CE009C"/>
    <w:rsid w:val="00CE0E48"/>
    <w:rsid w:val="00CE17CE"/>
    <w:rsid w:val="00CE3BD9"/>
    <w:rsid w:val="00CE3CF2"/>
    <w:rsid w:val="00CF1771"/>
    <w:rsid w:val="00CF40E0"/>
    <w:rsid w:val="00CF41D0"/>
    <w:rsid w:val="00D04268"/>
    <w:rsid w:val="00D10819"/>
    <w:rsid w:val="00D15D93"/>
    <w:rsid w:val="00D1710F"/>
    <w:rsid w:val="00D31C1C"/>
    <w:rsid w:val="00D34D38"/>
    <w:rsid w:val="00D40FF7"/>
    <w:rsid w:val="00D4455D"/>
    <w:rsid w:val="00D6016C"/>
    <w:rsid w:val="00D63E4B"/>
    <w:rsid w:val="00D66B14"/>
    <w:rsid w:val="00D7261C"/>
    <w:rsid w:val="00D773B3"/>
    <w:rsid w:val="00D95CB7"/>
    <w:rsid w:val="00DA053B"/>
    <w:rsid w:val="00DB5639"/>
    <w:rsid w:val="00DC175E"/>
    <w:rsid w:val="00DC2BE1"/>
    <w:rsid w:val="00DE08EC"/>
    <w:rsid w:val="00DE1022"/>
    <w:rsid w:val="00DE69A5"/>
    <w:rsid w:val="00DE7F68"/>
    <w:rsid w:val="00E05D3B"/>
    <w:rsid w:val="00E06FE2"/>
    <w:rsid w:val="00E21685"/>
    <w:rsid w:val="00E23794"/>
    <w:rsid w:val="00E26361"/>
    <w:rsid w:val="00E33DFF"/>
    <w:rsid w:val="00E34033"/>
    <w:rsid w:val="00E41317"/>
    <w:rsid w:val="00E4198D"/>
    <w:rsid w:val="00E4599C"/>
    <w:rsid w:val="00E46B87"/>
    <w:rsid w:val="00E51F21"/>
    <w:rsid w:val="00E544A9"/>
    <w:rsid w:val="00E55804"/>
    <w:rsid w:val="00E60569"/>
    <w:rsid w:val="00E63A9B"/>
    <w:rsid w:val="00E72667"/>
    <w:rsid w:val="00E742ED"/>
    <w:rsid w:val="00E7560B"/>
    <w:rsid w:val="00E8092D"/>
    <w:rsid w:val="00E81C1C"/>
    <w:rsid w:val="00E820EB"/>
    <w:rsid w:val="00E84655"/>
    <w:rsid w:val="00E85350"/>
    <w:rsid w:val="00E9545D"/>
    <w:rsid w:val="00EA1D74"/>
    <w:rsid w:val="00EA2186"/>
    <w:rsid w:val="00EA5F2F"/>
    <w:rsid w:val="00EA7465"/>
    <w:rsid w:val="00EB22C0"/>
    <w:rsid w:val="00EB2D1D"/>
    <w:rsid w:val="00EC12A1"/>
    <w:rsid w:val="00EC73BB"/>
    <w:rsid w:val="00ED607D"/>
    <w:rsid w:val="00EE1212"/>
    <w:rsid w:val="00EE538C"/>
    <w:rsid w:val="00EF1FFD"/>
    <w:rsid w:val="00F0173C"/>
    <w:rsid w:val="00F070E9"/>
    <w:rsid w:val="00F23ACD"/>
    <w:rsid w:val="00F329C4"/>
    <w:rsid w:val="00F4247A"/>
    <w:rsid w:val="00F429EC"/>
    <w:rsid w:val="00F50260"/>
    <w:rsid w:val="00F5242B"/>
    <w:rsid w:val="00F542B5"/>
    <w:rsid w:val="00F60D65"/>
    <w:rsid w:val="00F7426F"/>
    <w:rsid w:val="00F8170F"/>
    <w:rsid w:val="00F8557D"/>
    <w:rsid w:val="00F90B41"/>
    <w:rsid w:val="00FA187E"/>
    <w:rsid w:val="00FB2239"/>
    <w:rsid w:val="00FB2627"/>
    <w:rsid w:val="00FB37AE"/>
    <w:rsid w:val="00FB4B6F"/>
    <w:rsid w:val="00FB6908"/>
    <w:rsid w:val="00FD6193"/>
    <w:rsid w:val="00FD7AB0"/>
    <w:rsid w:val="00FF3830"/>
    <w:rsid w:val="00FF3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EA8F4"/>
  <w15:docId w15:val="{19F4EC98-BEAB-4194-B08D-F1317630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E0F8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2D2"/>
    <w:rPr>
      <w:color w:val="0000FF"/>
      <w:u w:val="single"/>
    </w:rPr>
  </w:style>
  <w:style w:type="table" w:styleId="TableGrid">
    <w:name w:val="Table Grid"/>
    <w:basedOn w:val="TableNormal"/>
    <w:uiPriority w:val="59"/>
    <w:rsid w:val="001B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EE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3F0A7C"/>
    <w:rPr>
      <w:rFonts w:ascii="Tahoma" w:hAnsi="Tahoma"/>
      <w:sz w:val="16"/>
      <w:szCs w:val="16"/>
    </w:rPr>
  </w:style>
  <w:style w:type="character" w:customStyle="1" w:styleId="BalloonTextChar">
    <w:name w:val="Balloon Text Char"/>
    <w:link w:val="BalloonText"/>
    <w:rsid w:val="003F0A7C"/>
    <w:rPr>
      <w:rFonts w:ascii="Tahoma" w:hAnsi="Tahoma" w:cs="Tahoma"/>
      <w:noProof/>
      <w:sz w:val="16"/>
      <w:szCs w:val="16"/>
      <w:lang w:val="id-ID"/>
    </w:rPr>
  </w:style>
  <w:style w:type="paragraph" w:styleId="HTMLPreformatted">
    <w:name w:val="HTML Preformatted"/>
    <w:basedOn w:val="Normal"/>
    <w:link w:val="HTMLPreformattedChar"/>
    <w:uiPriority w:val="99"/>
    <w:unhideWhenUsed/>
    <w:rsid w:val="007E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E77D5"/>
    <w:rPr>
      <w:rFonts w:ascii="Courier New" w:hAnsi="Courier New" w:cs="Courier New"/>
    </w:rPr>
  </w:style>
  <w:style w:type="character" w:styleId="Emphasis">
    <w:name w:val="Emphasis"/>
    <w:uiPriority w:val="20"/>
    <w:qFormat/>
    <w:rsid w:val="00900A66"/>
    <w:rPr>
      <w:i/>
      <w:iCs/>
    </w:rPr>
  </w:style>
  <w:style w:type="character" w:styleId="Strong">
    <w:name w:val="Strong"/>
    <w:uiPriority w:val="22"/>
    <w:qFormat/>
    <w:rsid w:val="00A87FE8"/>
    <w:rPr>
      <w:b/>
      <w:bCs/>
    </w:rPr>
  </w:style>
  <w:style w:type="character" w:styleId="CommentReference">
    <w:name w:val="annotation reference"/>
    <w:basedOn w:val="DefaultParagraphFont"/>
    <w:semiHidden/>
    <w:unhideWhenUsed/>
    <w:rsid w:val="002102B6"/>
    <w:rPr>
      <w:sz w:val="16"/>
      <w:szCs w:val="16"/>
    </w:rPr>
  </w:style>
  <w:style w:type="paragraph" w:styleId="CommentText">
    <w:name w:val="annotation text"/>
    <w:basedOn w:val="Normal"/>
    <w:link w:val="CommentTextChar"/>
    <w:semiHidden/>
    <w:unhideWhenUsed/>
    <w:rsid w:val="002102B6"/>
    <w:rPr>
      <w:sz w:val="20"/>
      <w:szCs w:val="20"/>
    </w:rPr>
  </w:style>
  <w:style w:type="character" w:customStyle="1" w:styleId="CommentTextChar">
    <w:name w:val="Comment Text Char"/>
    <w:basedOn w:val="DefaultParagraphFont"/>
    <w:link w:val="CommentText"/>
    <w:semiHidden/>
    <w:rsid w:val="002102B6"/>
    <w:rPr>
      <w:lang w:val="en-US" w:eastAsia="en-US"/>
    </w:rPr>
  </w:style>
  <w:style w:type="paragraph" w:styleId="CommentSubject">
    <w:name w:val="annotation subject"/>
    <w:basedOn w:val="CommentText"/>
    <w:next w:val="CommentText"/>
    <w:link w:val="CommentSubjectChar"/>
    <w:semiHidden/>
    <w:unhideWhenUsed/>
    <w:rsid w:val="002102B6"/>
    <w:rPr>
      <w:b/>
      <w:bCs/>
    </w:rPr>
  </w:style>
  <w:style w:type="character" w:customStyle="1" w:styleId="CommentSubjectChar">
    <w:name w:val="Comment Subject Char"/>
    <w:basedOn w:val="CommentTextChar"/>
    <w:link w:val="CommentSubject"/>
    <w:semiHidden/>
    <w:rsid w:val="002102B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7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F140FB-487C-4BC4-95AA-84B6996D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13507</Words>
  <Characters>76992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PEDOMAN PENULISAN NASKAH</vt:lpstr>
    </vt:vector>
  </TitlesOfParts>
  <Company>UGM</Company>
  <LinksUpToDate>false</LinksUpToDate>
  <CharactersWithSpaces>90319</CharactersWithSpaces>
  <SharedDoc>false</SharedDoc>
  <HLinks>
    <vt:vector size="12" baseType="variant">
      <vt:variant>
        <vt:i4>5111849</vt:i4>
      </vt:variant>
      <vt:variant>
        <vt:i4>3</vt:i4>
      </vt:variant>
      <vt:variant>
        <vt:i4>0</vt:i4>
      </vt:variant>
      <vt:variant>
        <vt:i4>5</vt:i4>
      </vt:variant>
      <vt:variant>
        <vt:lpwstr>mailto:agroekonomi@ugm.ac.id</vt:lpwstr>
      </vt:variant>
      <vt:variant>
        <vt:lpwstr/>
      </vt:variant>
      <vt:variant>
        <vt:i4>5111849</vt:i4>
      </vt:variant>
      <vt:variant>
        <vt:i4>0</vt:i4>
      </vt:variant>
      <vt:variant>
        <vt:i4>0</vt:i4>
      </vt:variant>
      <vt:variant>
        <vt:i4>5</vt:i4>
      </vt:variant>
      <vt:variant>
        <vt:lpwstr>mailto:agroekonomi@ugm.ac.id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PENULISAN NASKAH</dc:title>
  <dc:creator>Administrator Sosek UGM</dc:creator>
  <cp:lastModifiedBy>I Made Yoga Prasada</cp:lastModifiedBy>
  <cp:revision>5</cp:revision>
  <cp:lastPrinted>2018-07-10T05:39:00Z</cp:lastPrinted>
  <dcterms:created xsi:type="dcterms:W3CDTF">2019-08-25T17:03:00Z</dcterms:created>
  <dcterms:modified xsi:type="dcterms:W3CDTF">2019-08-27T12:29:00Z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5784fe29-2da8-3a48-bf6e-2e75c82deb14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