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D2D9" w14:textId="77777777" w:rsidR="00EE565D" w:rsidRPr="00EE565D" w:rsidRDefault="00EE565D" w:rsidP="00EE565D">
      <w:pPr>
        <w:spacing w:after="0" w:line="360" w:lineRule="auto"/>
        <w:jc w:val="right"/>
        <w:rPr>
          <w:rFonts w:ascii="Minion Pro" w:hAnsi="Minion Pro" w:cs="Times New Roman"/>
          <w:color w:val="FFFFFF"/>
          <w:sz w:val="20"/>
          <w:szCs w:val="20"/>
        </w:rPr>
      </w:pPr>
      <w:r w:rsidRPr="00EE565D">
        <w:rPr>
          <w:rStyle w:val="fontstyle01"/>
          <w:sz w:val="20"/>
          <w:szCs w:val="20"/>
          <w:highlight w:val="blue"/>
        </w:rPr>
        <w:t>RESEARCH ARTICLE</w:t>
      </w:r>
      <w:r w:rsidRPr="00EE565D">
        <w:rPr>
          <w:rStyle w:val="Heading2Char"/>
          <w:color w:val="FFFFFF"/>
          <w:sz w:val="20"/>
          <w:szCs w:val="20"/>
        </w:rPr>
        <w:t xml:space="preserve"> </w:t>
      </w:r>
    </w:p>
    <w:p w14:paraId="2AE98B4D" w14:textId="4391C556" w:rsidR="005A6649" w:rsidRPr="00766F56" w:rsidRDefault="00A95B49" w:rsidP="00766F56">
      <w:pPr>
        <w:spacing w:after="0" w:line="360" w:lineRule="auto"/>
        <w:rPr>
          <w:rFonts w:ascii="Minion Pro" w:hAnsi="Minion Pro" w:cs="Times New Roman"/>
          <w:b/>
          <w:sz w:val="32"/>
          <w:szCs w:val="32"/>
        </w:rPr>
      </w:pPr>
      <w:r w:rsidRPr="00A95B49">
        <w:rPr>
          <w:rFonts w:ascii="Minion Pro" w:hAnsi="Minion Pro" w:cs="Times New Roman"/>
          <w:b/>
          <w:sz w:val="32"/>
          <w:szCs w:val="32"/>
        </w:rPr>
        <w:t>Deforestation Characteristic during a Period 2006 - 2020 over Tropical Forest in Central Kalimantan, Indonesia</w:t>
      </w:r>
    </w:p>
    <w:p w14:paraId="5C91D2DA" w14:textId="77777777" w:rsidR="00E52D0F" w:rsidRPr="00766F56" w:rsidRDefault="00E52D0F" w:rsidP="00766F56">
      <w:pPr>
        <w:spacing w:after="0" w:line="360" w:lineRule="auto"/>
        <w:jc w:val="both"/>
        <w:rPr>
          <w:rFonts w:ascii="Minion Pro" w:hAnsi="Minion Pro" w:cs="Times New Roman"/>
          <w:b/>
          <w:bCs/>
          <w:sz w:val="24"/>
          <w:szCs w:val="24"/>
          <w:lang w:val="fi-FI"/>
        </w:rPr>
      </w:pPr>
    </w:p>
    <w:p w14:paraId="6152D2C7" w14:textId="4050C9F1" w:rsidR="003471FA" w:rsidRPr="00766F56" w:rsidRDefault="00A95B49" w:rsidP="00766F56">
      <w:pPr>
        <w:spacing w:after="0" w:line="360" w:lineRule="auto"/>
        <w:rPr>
          <w:rFonts w:ascii="Minion Pro" w:hAnsi="Minion Pro" w:cs="Times New Roman"/>
          <w:b/>
          <w:sz w:val="24"/>
          <w:szCs w:val="24"/>
        </w:rPr>
      </w:pPr>
      <w:r w:rsidRPr="00A95B49">
        <w:rPr>
          <w:rFonts w:ascii="Minion Pro" w:hAnsi="Minion Pro" w:cs="Times New Roman"/>
          <w:b/>
          <w:bCs/>
          <w:sz w:val="24"/>
          <w:szCs w:val="24"/>
          <w:lang w:val="fi-FI"/>
        </w:rPr>
        <w:t>Hendrik Segah</w:t>
      </w:r>
      <w:r w:rsidRPr="00A95B49">
        <w:rPr>
          <w:rFonts w:ascii="Minion Pro" w:hAnsi="Minion Pro" w:cs="Times New Roman"/>
          <w:b/>
          <w:bCs/>
          <w:sz w:val="24"/>
          <w:szCs w:val="24"/>
          <w:vertAlign w:val="superscript"/>
          <w:lang w:val="fi-FI"/>
        </w:rPr>
        <w:t>1</w:t>
      </w:r>
      <w:r w:rsidR="00E21DE4">
        <w:rPr>
          <w:rFonts w:ascii="Minion Pro" w:hAnsi="Minion Pro" w:cs="Times New Roman"/>
          <w:b/>
          <w:bCs/>
          <w:sz w:val="24"/>
          <w:szCs w:val="24"/>
          <w:vertAlign w:val="superscript"/>
          <w:lang w:val="fi-FI"/>
        </w:rPr>
        <w:t>,2,</w:t>
      </w:r>
      <w:r w:rsidRPr="00A95B49">
        <w:rPr>
          <w:rFonts w:ascii="Minion Pro" w:hAnsi="Minion Pro" w:cs="Times New Roman"/>
          <w:b/>
          <w:bCs/>
          <w:sz w:val="24"/>
          <w:szCs w:val="24"/>
          <w:vertAlign w:val="superscript"/>
          <w:lang w:val="fi-FI"/>
        </w:rPr>
        <w:t>*</w:t>
      </w:r>
      <w:r w:rsidRPr="00A95B49">
        <w:rPr>
          <w:rFonts w:ascii="Minion Pro" w:hAnsi="Minion Pro" w:cs="Times New Roman"/>
          <w:b/>
          <w:bCs/>
          <w:sz w:val="24"/>
          <w:szCs w:val="24"/>
          <w:lang w:val="fi-FI"/>
        </w:rPr>
        <w:t>, Afentina</w:t>
      </w:r>
      <w:r w:rsidRPr="00A95B49">
        <w:rPr>
          <w:rFonts w:ascii="Minion Pro" w:hAnsi="Minion Pro" w:cs="Times New Roman"/>
          <w:b/>
          <w:bCs/>
          <w:sz w:val="24"/>
          <w:szCs w:val="24"/>
          <w:vertAlign w:val="superscript"/>
          <w:lang w:val="fi-FI"/>
        </w:rPr>
        <w:t>1,</w:t>
      </w:r>
      <w:r w:rsidR="00E21DE4">
        <w:rPr>
          <w:rFonts w:ascii="Minion Pro" w:hAnsi="Minion Pro" w:cs="Times New Roman"/>
          <w:b/>
          <w:bCs/>
          <w:sz w:val="24"/>
          <w:szCs w:val="24"/>
          <w:vertAlign w:val="superscript"/>
          <w:lang w:val="fi-FI"/>
        </w:rPr>
        <w:t>3</w:t>
      </w:r>
      <w:r w:rsidRPr="00A95B49">
        <w:rPr>
          <w:rFonts w:ascii="Minion Pro" w:hAnsi="Minion Pro" w:cs="Times New Roman"/>
          <w:b/>
          <w:bCs/>
          <w:sz w:val="24"/>
          <w:szCs w:val="24"/>
          <w:lang w:val="fi-FI"/>
        </w:rPr>
        <w:t>, Fatkhurohman</w:t>
      </w:r>
      <w:r w:rsidR="00E21DE4">
        <w:rPr>
          <w:rFonts w:ascii="Minion Pro" w:hAnsi="Minion Pro" w:cs="Times New Roman"/>
          <w:b/>
          <w:bCs/>
          <w:sz w:val="24"/>
          <w:szCs w:val="24"/>
          <w:vertAlign w:val="superscript"/>
          <w:lang w:val="fi-FI"/>
        </w:rPr>
        <w:t>4</w:t>
      </w:r>
      <w:r w:rsidRPr="00A95B49">
        <w:rPr>
          <w:rFonts w:ascii="Minion Pro" w:hAnsi="Minion Pro" w:cs="Times New Roman"/>
          <w:b/>
          <w:bCs/>
          <w:sz w:val="24"/>
          <w:szCs w:val="24"/>
          <w:lang w:val="fi-FI"/>
        </w:rPr>
        <w:t>,</w:t>
      </w:r>
      <w:r>
        <w:rPr>
          <w:rFonts w:ascii="Minion Pro" w:hAnsi="Minion Pro" w:cs="Times New Roman"/>
          <w:b/>
          <w:bCs/>
          <w:sz w:val="24"/>
          <w:szCs w:val="24"/>
          <w:lang w:val="fi-FI"/>
        </w:rPr>
        <w:t xml:space="preserve"> </w:t>
      </w:r>
      <w:r w:rsidRPr="00A95B49">
        <w:rPr>
          <w:rFonts w:ascii="Minion Pro" w:hAnsi="Minion Pro" w:cs="Times New Roman"/>
          <w:b/>
          <w:bCs/>
          <w:sz w:val="24"/>
          <w:szCs w:val="24"/>
          <w:lang w:val="fi-FI"/>
        </w:rPr>
        <w:t>Yusuf Aguswan</w:t>
      </w:r>
      <w:r w:rsidRPr="00A95B49">
        <w:rPr>
          <w:rFonts w:ascii="Minion Pro" w:hAnsi="Minion Pro" w:cs="Times New Roman"/>
          <w:b/>
          <w:bCs/>
          <w:sz w:val="24"/>
          <w:szCs w:val="24"/>
          <w:vertAlign w:val="superscript"/>
          <w:lang w:val="fi-FI"/>
        </w:rPr>
        <w:t>1</w:t>
      </w:r>
      <w:r w:rsidR="00E21DE4">
        <w:rPr>
          <w:rFonts w:ascii="Minion Pro" w:hAnsi="Minion Pro" w:cs="Times New Roman"/>
          <w:b/>
          <w:bCs/>
          <w:sz w:val="24"/>
          <w:szCs w:val="24"/>
          <w:vertAlign w:val="superscript"/>
          <w:lang w:val="fi-FI"/>
        </w:rPr>
        <w:t>,2</w:t>
      </w:r>
      <w:r w:rsidRPr="00A95B49">
        <w:rPr>
          <w:rFonts w:ascii="Minion Pro" w:hAnsi="Minion Pro" w:cs="Times New Roman"/>
          <w:b/>
          <w:bCs/>
          <w:sz w:val="24"/>
          <w:szCs w:val="24"/>
          <w:lang w:val="fi-FI"/>
        </w:rPr>
        <w:t xml:space="preserve"> </w:t>
      </w:r>
    </w:p>
    <w:p w14:paraId="69710825" w14:textId="44C81A6E" w:rsidR="00A95B49" w:rsidRPr="00A95B49" w:rsidRDefault="00A95B49" w:rsidP="00A95B49">
      <w:pPr>
        <w:spacing w:after="0" w:line="360" w:lineRule="auto"/>
        <w:rPr>
          <w:rFonts w:ascii="Minion Pro" w:hAnsi="Minion Pro" w:cs="Times New Roman"/>
          <w:iCs/>
          <w:sz w:val="24"/>
          <w:szCs w:val="24"/>
        </w:rPr>
      </w:pPr>
      <w:r w:rsidRPr="00E21DE4">
        <w:rPr>
          <w:rFonts w:ascii="Minion Pro" w:hAnsi="Minion Pro" w:cs="Times New Roman"/>
          <w:iCs/>
          <w:sz w:val="24"/>
          <w:szCs w:val="24"/>
          <w:vertAlign w:val="superscript"/>
        </w:rPr>
        <w:t>1</w:t>
      </w:r>
      <w:r w:rsidRPr="00A95B49">
        <w:rPr>
          <w:rFonts w:ascii="Minion Pro" w:hAnsi="Minion Pro" w:cs="Times New Roman"/>
          <w:iCs/>
          <w:sz w:val="24"/>
          <w:szCs w:val="24"/>
        </w:rPr>
        <w:t xml:space="preserve">Forestry Department, </w:t>
      </w:r>
      <w:r w:rsidR="00E21DE4">
        <w:rPr>
          <w:rFonts w:ascii="Minion Pro" w:hAnsi="Minion Pro" w:cs="Times New Roman"/>
          <w:iCs/>
          <w:sz w:val="24"/>
          <w:szCs w:val="24"/>
        </w:rPr>
        <w:t xml:space="preserve">Faculty of Agriculture, </w:t>
      </w:r>
      <w:r w:rsidRPr="00A95B49">
        <w:rPr>
          <w:rFonts w:ascii="Minion Pro" w:hAnsi="Minion Pro" w:cs="Times New Roman"/>
          <w:iCs/>
          <w:sz w:val="24"/>
          <w:szCs w:val="24"/>
        </w:rPr>
        <w:t>University of Palangka Raya, Indonesia</w:t>
      </w:r>
    </w:p>
    <w:p w14:paraId="45C375D5" w14:textId="5B54A08C" w:rsidR="00A95B49" w:rsidRDefault="00A95B49" w:rsidP="00A95B49">
      <w:pPr>
        <w:spacing w:after="0" w:line="360" w:lineRule="auto"/>
        <w:rPr>
          <w:rFonts w:ascii="Minion Pro" w:hAnsi="Minion Pro" w:cs="Times New Roman"/>
          <w:iCs/>
          <w:sz w:val="24"/>
          <w:szCs w:val="24"/>
        </w:rPr>
      </w:pPr>
      <w:r w:rsidRPr="00E21DE4">
        <w:rPr>
          <w:rFonts w:ascii="Minion Pro" w:hAnsi="Minion Pro" w:cs="Times New Roman"/>
          <w:iCs/>
          <w:sz w:val="24"/>
          <w:szCs w:val="24"/>
          <w:vertAlign w:val="superscript"/>
        </w:rPr>
        <w:t>2</w:t>
      </w:r>
      <w:r w:rsidRPr="00A95B49">
        <w:rPr>
          <w:rFonts w:ascii="Minion Pro" w:hAnsi="Minion Pro" w:cs="Times New Roman"/>
          <w:iCs/>
          <w:sz w:val="24"/>
          <w:szCs w:val="24"/>
        </w:rPr>
        <w:t>Center for Development of Science, Technology and Peatland Innovation</w:t>
      </w:r>
      <w:r>
        <w:rPr>
          <w:rFonts w:ascii="Minion Pro" w:hAnsi="Minion Pro" w:cs="Times New Roman"/>
          <w:iCs/>
          <w:sz w:val="24"/>
          <w:szCs w:val="24"/>
        </w:rPr>
        <w:t xml:space="preserve"> (PPIIG), </w:t>
      </w:r>
      <w:r w:rsidRPr="00A95B49">
        <w:rPr>
          <w:rFonts w:ascii="Minion Pro" w:hAnsi="Minion Pro" w:cs="Times New Roman"/>
          <w:iCs/>
          <w:sz w:val="24"/>
          <w:szCs w:val="24"/>
        </w:rPr>
        <w:t>University of Palangka Raya, Indonesia</w:t>
      </w:r>
    </w:p>
    <w:p w14:paraId="3052566C" w14:textId="0A13593C" w:rsidR="00A95B49" w:rsidRPr="00A95B49" w:rsidRDefault="00A95B49" w:rsidP="00A95B49">
      <w:pPr>
        <w:spacing w:after="0" w:line="360" w:lineRule="auto"/>
        <w:rPr>
          <w:rFonts w:ascii="Minion Pro" w:hAnsi="Minion Pro" w:cs="Times New Roman"/>
          <w:iCs/>
          <w:sz w:val="24"/>
          <w:szCs w:val="24"/>
        </w:rPr>
      </w:pPr>
      <w:r w:rsidRPr="00E21DE4">
        <w:rPr>
          <w:rFonts w:ascii="Minion Pro" w:hAnsi="Minion Pro" w:cs="Times New Roman"/>
          <w:iCs/>
          <w:sz w:val="24"/>
          <w:szCs w:val="24"/>
          <w:vertAlign w:val="superscript"/>
        </w:rPr>
        <w:t>3</w:t>
      </w:r>
      <w:r w:rsidRPr="00A95B49">
        <w:rPr>
          <w:rFonts w:ascii="Minion Pro" w:hAnsi="Minion Pro" w:cs="Times New Roman"/>
          <w:iCs/>
          <w:sz w:val="24"/>
          <w:szCs w:val="24"/>
        </w:rPr>
        <w:t>Research and Community Services</w:t>
      </w:r>
      <w:r>
        <w:rPr>
          <w:rFonts w:ascii="Minion Pro" w:hAnsi="Minion Pro" w:cs="Times New Roman"/>
          <w:iCs/>
          <w:sz w:val="24"/>
          <w:szCs w:val="24"/>
        </w:rPr>
        <w:t xml:space="preserve"> (LPPM)</w:t>
      </w:r>
      <w:r w:rsidRPr="00A95B49">
        <w:rPr>
          <w:rFonts w:ascii="Minion Pro" w:hAnsi="Minion Pro" w:cs="Times New Roman"/>
          <w:iCs/>
          <w:sz w:val="24"/>
          <w:szCs w:val="24"/>
        </w:rPr>
        <w:t>, University of Palangka Raya, Indonesia</w:t>
      </w:r>
    </w:p>
    <w:p w14:paraId="416D177A" w14:textId="20A6CD76" w:rsidR="00766F56" w:rsidRPr="00766F56" w:rsidRDefault="00A95B49" w:rsidP="00A95B49">
      <w:pPr>
        <w:spacing w:after="0" w:line="360" w:lineRule="auto"/>
        <w:rPr>
          <w:rFonts w:ascii="Minion Pro" w:hAnsi="Minion Pro" w:cs="Times New Roman"/>
          <w:color w:val="FF0000"/>
          <w:sz w:val="24"/>
          <w:szCs w:val="24"/>
        </w:rPr>
      </w:pPr>
      <w:r w:rsidRPr="00E21DE4">
        <w:rPr>
          <w:rFonts w:ascii="Minion Pro" w:hAnsi="Minion Pro" w:cs="Times New Roman"/>
          <w:iCs/>
          <w:sz w:val="24"/>
          <w:szCs w:val="24"/>
          <w:vertAlign w:val="superscript"/>
        </w:rPr>
        <w:t>4</w:t>
      </w:r>
      <w:r w:rsidRPr="00A95B49">
        <w:rPr>
          <w:rFonts w:ascii="Minion Pro" w:hAnsi="Minion Pro" w:cs="Times New Roman"/>
          <w:iCs/>
          <w:sz w:val="24"/>
          <w:szCs w:val="24"/>
        </w:rPr>
        <w:t>Environment &amp; GIS Expert. Palangka Raya</w:t>
      </w:r>
      <w:r>
        <w:rPr>
          <w:rFonts w:ascii="Minion Pro" w:hAnsi="Minion Pro" w:cs="Times New Roman"/>
          <w:iCs/>
          <w:sz w:val="24"/>
          <w:szCs w:val="24"/>
        </w:rPr>
        <w:t xml:space="preserve">, </w:t>
      </w:r>
      <w:r w:rsidRPr="00A95B49">
        <w:rPr>
          <w:rFonts w:ascii="Minion Pro" w:hAnsi="Minion Pro" w:cs="Times New Roman"/>
          <w:iCs/>
          <w:sz w:val="24"/>
          <w:szCs w:val="24"/>
        </w:rPr>
        <w:t xml:space="preserve">Central Kalimantan, Indonesia </w:t>
      </w:r>
    </w:p>
    <w:p w14:paraId="112A6E7A" w14:textId="04F83CF1" w:rsidR="00EE565D" w:rsidRPr="00EE565D" w:rsidRDefault="00EE565D" w:rsidP="00EE565D">
      <w:pPr>
        <w:tabs>
          <w:tab w:val="left" w:pos="4140"/>
          <w:tab w:val="center" w:pos="4513"/>
        </w:tabs>
        <w:spacing w:after="0" w:line="360" w:lineRule="auto"/>
        <w:rPr>
          <w:rFonts w:ascii="Minion Pro" w:hAnsi="Minion Pro" w:cs="Times New Roman"/>
          <w:iCs/>
          <w:sz w:val="20"/>
          <w:szCs w:val="20"/>
        </w:rPr>
      </w:pPr>
      <w:r w:rsidRPr="00EE565D">
        <w:rPr>
          <w:rFonts w:ascii="Minion Pro" w:hAnsi="Minion Pro" w:cs="Times New Roman"/>
          <w:iCs/>
          <w:sz w:val="20"/>
          <w:szCs w:val="20"/>
        </w:rPr>
        <w:t xml:space="preserve">*Correspondent email: </w:t>
      </w:r>
      <w:hyperlink r:id="rId8" w:history="1">
        <w:r w:rsidR="00E21DE4" w:rsidRPr="002B4134">
          <w:rPr>
            <w:rStyle w:val="Hyperlink"/>
            <w:rFonts w:ascii="Minion Pro" w:hAnsi="Minion Pro" w:cs="Times New Roman"/>
            <w:iCs/>
            <w:sz w:val="20"/>
            <w:szCs w:val="20"/>
          </w:rPr>
          <w:t>segah@for.upr.ac.id</w:t>
        </w:r>
      </w:hyperlink>
      <w:r w:rsidR="00E21DE4">
        <w:rPr>
          <w:rFonts w:ascii="Minion Pro" w:hAnsi="Minion Pro" w:cs="Times New Roman"/>
          <w:iCs/>
          <w:sz w:val="20"/>
          <w:szCs w:val="20"/>
        </w:rPr>
        <w:t xml:space="preserve"> </w:t>
      </w:r>
      <w:r w:rsidRPr="00EE565D">
        <w:rPr>
          <w:rFonts w:ascii="Minion Pro" w:hAnsi="Minion Pro" w:cs="Times New Roman"/>
          <w:iCs/>
          <w:sz w:val="20"/>
          <w:szCs w:val="20"/>
        </w:rPr>
        <w:t xml:space="preserve"> </w:t>
      </w:r>
    </w:p>
    <w:p w14:paraId="23DCF8EB" w14:textId="77777777" w:rsidR="00EE565D" w:rsidRPr="00EE565D" w:rsidRDefault="00EE565D" w:rsidP="00EE565D">
      <w:pPr>
        <w:spacing w:after="0"/>
        <w:rPr>
          <w:rFonts w:ascii="Times New Roman" w:hAnsi="Times New Roman" w:cs="Times New Roman"/>
          <w:b/>
          <w:sz w:val="20"/>
          <w:szCs w:val="20"/>
        </w:rPr>
      </w:pPr>
      <w:r w:rsidRPr="00EE565D">
        <w:rPr>
          <w:rFonts w:ascii="Times New Roman" w:hAnsi="Times New Roman" w:cs="Times New Roman"/>
          <w:b/>
          <w:sz w:val="20"/>
          <w:szCs w:val="20"/>
        </w:rPr>
        <w:t xml:space="preserve">Submit: </w:t>
      </w:r>
      <w:r w:rsidRPr="00EE565D">
        <w:rPr>
          <w:sz w:val="20"/>
          <w:szCs w:val="20"/>
        </w:rPr>
        <w:t>……</w:t>
      </w:r>
      <w:proofErr w:type="gramStart"/>
      <w:r w:rsidRPr="00EE565D">
        <w:rPr>
          <w:sz w:val="20"/>
          <w:szCs w:val="20"/>
        </w:rPr>
        <w:t>…..</w:t>
      </w:r>
      <w:proofErr w:type="gramEnd"/>
      <w:r w:rsidRPr="00EE565D">
        <w:rPr>
          <w:sz w:val="20"/>
          <w:szCs w:val="20"/>
        </w:rPr>
        <w:t xml:space="preserve"> </w:t>
      </w:r>
      <w:r w:rsidRPr="00EE565D">
        <w:rPr>
          <w:rFonts w:ascii="Times New Roman" w:hAnsi="Times New Roman" w:cs="Times New Roman"/>
          <w:b/>
          <w:sz w:val="20"/>
          <w:szCs w:val="20"/>
        </w:rPr>
        <w:t xml:space="preserve">Received: </w:t>
      </w:r>
      <w:r w:rsidRPr="00EE565D">
        <w:rPr>
          <w:sz w:val="20"/>
          <w:szCs w:val="20"/>
        </w:rPr>
        <w:t xml:space="preserve">……………. </w:t>
      </w:r>
      <w:r w:rsidRPr="00EE565D">
        <w:rPr>
          <w:rFonts w:ascii="Times New Roman" w:hAnsi="Times New Roman" w:cs="Times New Roman"/>
          <w:b/>
          <w:sz w:val="20"/>
          <w:szCs w:val="20"/>
        </w:rPr>
        <w:t>Accepted:</w:t>
      </w:r>
      <w:r w:rsidRPr="00EE565D">
        <w:rPr>
          <w:sz w:val="20"/>
          <w:szCs w:val="20"/>
        </w:rPr>
        <w:t xml:space="preserve"> …………</w:t>
      </w:r>
      <w:proofErr w:type="gramStart"/>
      <w:r w:rsidRPr="00EE565D">
        <w:rPr>
          <w:sz w:val="20"/>
          <w:szCs w:val="20"/>
        </w:rPr>
        <w:t>…..</w:t>
      </w:r>
      <w:proofErr w:type="gramEnd"/>
    </w:p>
    <w:p w14:paraId="6F46047E" w14:textId="77777777" w:rsidR="003471FA" w:rsidRPr="00766F56" w:rsidRDefault="003471FA" w:rsidP="00766F56">
      <w:pPr>
        <w:spacing w:after="0" w:line="360" w:lineRule="auto"/>
        <w:rPr>
          <w:rFonts w:ascii="Minion Pro" w:hAnsi="Minion Pro" w:cs="Times New Roman"/>
          <w:b/>
          <w:color w:val="FF0000"/>
          <w:sz w:val="24"/>
          <w:szCs w:val="24"/>
        </w:rPr>
      </w:pPr>
    </w:p>
    <w:p w14:paraId="6C274DA8" w14:textId="76345627" w:rsidR="005A6649" w:rsidRDefault="005849EC" w:rsidP="0006768A">
      <w:pPr>
        <w:spacing w:after="0" w:line="360" w:lineRule="auto"/>
        <w:jc w:val="both"/>
        <w:rPr>
          <w:rFonts w:ascii="Minion Pro" w:hAnsi="Minion Pro" w:cs="Times New Roman"/>
          <w:iCs/>
          <w:sz w:val="18"/>
          <w:szCs w:val="18"/>
        </w:rPr>
      </w:pPr>
      <w:r w:rsidRPr="00EE565D">
        <w:rPr>
          <w:rFonts w:ascii="Minion Pro" w:hAnsi="Minion Pro" w:cs="Times New Roman"/>
          <w:b/>
          <w:iCs/>
          <w:sz w:val="18"/>
          <w:szCs w:val="18"/>
        </w:rPr>
        <w:t>Abstract</w:t>
      </w:r>
      <w:r w:rsidRPr="00EE565D">
        <w:rPr>
          <w:rFonts w:ascii="Minion Pro" w:hAnsi="Minion Pro" w:cs="Times New Roman"/>
          <w:iCs/>
          <w:sz w:val="18"/>
          <w:szCs w:val="18"/>
        </w:rPr>
        <w:t xml:space="preserve"> </w:t>
      </w:r>
      <w:r w:rsidR="00E21DE4" w:rsidRPr="00E21DE4">
        <w:rPr>
          <w:rFonts w:ascii="Minion Pro" w:hAnsi="Minion Pro" w:cs="Times New Roman"/>
          <w:iCs/>
          <w:sz w:val="18"/>
          <w:szCs w:val="18"/>
        </w:rPr>
        <w:t>Deforestation brings vast and detrimental impact on the environment, economy, and social aspects of community. Thus, it is important to assess and analyze deforestation to inform the decision maker that oversees issued policy and development strategies. The present study aims to characterize deforestation in Central Kalimantan between 2006 - 2020. Utilized land cover map issued by Indonesian Ministry of Environment and Forestry, we calculated and analyzed the change in natural forest cover using Remote Sensing and Geographical Information System (GIS) to find the rate the trend, location, and land cover replacement of deforestation, reforestation and degradation in Central Kalimantan Province, Indonesia. The research found that during a period of 2006 – 2020, Central Kalimantan lost 1.5 million ha of natural forest with the rate of deforestation 117,000 ha/year. In general, the deforestation shown decrease trend and fluctuated during the period. Deforestation majority takes place at secondary swamp and dry forest that are located at south part of the island. Most of deforestation resulted shrubs, plantations, and agriculture land. The finding of this research could be used as a base to determine the target location for rehabilitation strategy and approach to prevent further deforestation.</w:t>
      </w:r>
      <w:r w:rsidR="00FD6178" w:rsidRPr="00EE565D">
        <w:rPr>
          <w:rFonts w:ascii="Minion Pro" w:hAnsi="Minion Pro" w:cs="Times New Roman"/>
          <w:iCs/>
          <w:sz w:val="18"/>
          <w:szCs w:val="18"/>
        </w:rPr>
        <w:t xml:space="preserve"> </w:t>
      </w:r>
    </w:p>
    <w:p w14:paraId="3ADB17D9" w14:textId="77777777" w:rsidR="00EE565D" w:rsidRDefault="00EE565D" w:rsidP="00EE565D">
      <w:pPr>
        <w:pStyle w:val="BasicParagraph"/>
        <w:widowControl w:val="0"/>
        <w:rPr>
          <w:sz w:val="10"/>
          <w:szCs w:val="10"/>
        </w:rPr>
      </w:pPr>
      <w:bookmarkStart w:id="0" w:name="_Hlk128404928"/>
      <w:r>
        <w:rPr>
          <w:sz w:val="10"/>
          <w:szCs w:val="10"/>
        </w:rPr>
        <w:t>©</w:t>
      </w:r>
      <w:proofErr w:type="gramStart"/>
      <w:r>
        <w:rPr>
          <w:sz w:val="10"/>
          <w:szCs w:val="10"/>
        </w:rPr>
        <w:t>2022  by</w:t>
      </w:r>
      <w:proofErr w:type="gramEnd"/>
      <w:r>
        <w:rPr>
          <w:sz w:val="10"/>
          <w:szCs w:val="10"/>
        </w:rPr>
        <w:t xml:space="preserve"> the authors. Licensee Indonesian Journal of Geography, Indonesia. </w:t>
      </w:r>
    </w:p>
    <w:p w14:paraId="022EB661" w14:textId="77777777" w:rsidR="00EE565D" w:rsidRDefault="00EE565D" w:rsidP="00EE565D">
      <w:pPr>
        <w:pStyle w:val="BasicParagraph"/>
        <w:widowControl w:val="0"/>
        <w:rPr>
          <w:sz w:val="10"/>
          <w:szCs w:val="10"/>
        </w:rPr>
      </w:pPr>
      <w:r>
        <w:rPr>
          <w:sz w:val="10"/>
          <w:szCs w:val="10"/>
        </w:rPr>
        <w:t xml:space="preserve">This article is an open </w:t>
      </w:r>
      <w:proofErr w:type="gramStart"/>
      <w:r>
        <w:rPr>
          <w:sz w:val="10"/>
          <w:szCs w:val="10"/>
        </w:rPr>
        <w:t>access  article</w:t>
      </w:r>
      <w:proofErr w:type="gramEnd"/>
      <w:r>
        <w:rPr>
          <w:sz w:val="10"/>
          <w:szCs w:val="10"/>
        </w:rPr>
        <w:t xml:space="preserve"> distributed under the terms and conditions of the Creative Commons </w:t>
      </w:r>
    </w:p>
    <w:p w14:paraId="551752D8" w14:textId="77777777" w:rsidR="00EE565D" w:rsidRDefault="00EE565D" w:rsidP="00EE565D">
      <w:pPr>
        <w:pStyle w:val="BasicParagraph"/>
        <w:widowControl w:val="0"/>
        <w:rPr>
          <w:sz w:val="12"/>
          <w:szCs w:val="12"/>
        </w:rPr>
      </w:pPr>
      <w:proofErr w:type="gramStart"/>
      <w:r>
        <w:rPr>
          <w:sz w:val="10"/>
          <w:szCs w:val="10"/>
        </w:rPr>
        <w:t>Attribution(</w:t>
      </w:r>
      <w:proofErr w:type="gramEnd"/>
      <w:r>
        <w:rPr>
          <w:sz w:val="10"/>
          <w:szCs w:val="10"/>
        </w:rPr>
        <w:t>CC BY NC) licensehttps://creativecommons.org/licenses/by-nc/4.0/.</w:t>
      </w:r>
    </w:p>
    <w:bookmarkEnd w:id="0"/>
    <w:p w14:paraId="7AD21DBB" w14:textId="77777777" w:rsidR="00EE565D" w:rsidRPr="00EE565D" w:rsidRDefault="00EE565D" w:rsidP="0006768A">
      <w:pPr>
        <w:spacing w:after="0" w:line="360" w:lineRule="auto"/>
        <w:jc w:val="both"/>
        <w:rPr>
          <w:rFonts w:ascii="Minion Pro" w:hAnsi="Minion Pro" w:cs="Times New Roman"/>
          <w:iCs/>
          <w:sz w:val="18"/>
          <w:szCs w:val="18"/>
        </w:rPr>
      </w:pPr>
    </w:p>
    <w:p w14:paraId="69CB8A0A" w14:textId="5FA65582" w:rsidR="00565607" w:rsidRPr="00766F56" w:rsidRDefault="00565607" w:rsidP="00766F56">
      <w:pPr>
        <w:spacing w:after="0" w:line="360" w:lineRule="auto"/>
        <w:jc w:val="both"/>
        <w:rPr>
          <w:rFonts w:ascii="Minion Pro" w:hAnsi="Minion Pro" w:cs="Times New Roman"/>
          <w:sz w:val="20"/>
          <w:szCs w:val="20"/>
        </w:rPr>
      </w:pPr>
      <w:r w:rsidRPr="00766F56">
        <w:rPr>
          <w:rFonts w:ascii="Minion Pro" w:hAnsi="Minion Pro" w:cs="Times New Roman"/>
          <w:b/>
          <w:sz w:val="20"/>
          <w:szCs w:val="20"/>
        </w:rPr>
        <w:t xml:space="preserve">Key words: </w:t>
      </w:r>
      <w:r w:rsidR="00E21DE4" w:rsidRPr="00E21DE4">
        <w:rPr>
          <w:rFonts w:ascii="Minion Pro" w:hAnsi="Minion Pro" w:cs="Times New Roman"/>
          <w:sz w:val="20"/>
          <w:szCs w:val="20"/>
        </w:rPr>
        <w:t>Deforestation; Forest Fires; Central Kalimantan; Land Use and Land Cover Change</w:t>
      </w:r>
    </w:p>
    <w:p w14:paraId="5EC085A9" w14:textId="77777777" w:rsidR="00E52D0F" w:rsidRPr="00DE03EB" w:rsidRDefault="00E52D0F" w:rsidP="00766F56">
      <w:pPr>
        <w:tabs>
          <w:tab w:val="left" w:pos="340"/>
        </w:tabs>
        <w:spacing w:after="0" w:line="360" w:lineRule="auto"/>
        <w:jc w:val="both"/>
        <w:rPr>
          <w:rFonts w:ascii="Minion Pro" w:hAnsi="Minion Pro" w:cs="Times New Roman"/>
          <w:b/>
          <w:bCs/>
          <w:i/>
          <w:sz w:val="24"/>
          <w:szCs w:val="24"/>
          <w:lang w:val="nl-BE"/>
        </w:rPr>
      </w:pPr>
    </w:p>
    <w:p w14:paraId="1AD47B64" w14:textId="77777777" w:rsidR="00E52D0F" w:rsidRPr="00DE03EB" w:rsidRDefault="00E52D0F" w:rsidP="00766F56">
      <w:pPr>
        <w:tabs>
          <w:tab w:val="left" w:pos="340"/>
        </w:tabs>
        <w:spacing w:after="0" w:line="360" w:lineRule="auto"/>
        <w:jc w:val="both"/>
        <w:rPr>
          <w:rFonts w:ascii="Minion Pro" w:hAnsi="Minion Pro" w:cs="Times New Roman"/>
          <w:b/>
          <w:bCs/>
          <w:i/>
          <w:snapToGrid w:val="0"/>
          <w:sz w:val="24"/>
          <w:szCs w:val="24"/>
          <w:lang w:val="nl-BE"/>
        </w:rPr>
        <w:sectPr w:rsidR="00E52D0F" w:rsidRPr="00DE03EB" w:rsidSect="00766F56">
          <w:headerReference w:type="even" r:id="rId9"/>
          <w:footerReference w:type="even" r:id="rId10"/>
          <w:headerReference w:type="first" r:id="rId11"/>
          <w:footerReference w:type="first" r:id="rId12"/>
          <w:pgSz w:w="11907" w:h="16839" w:code="9"/>
          <w:pgMar w:top="1134" w:right="1440" w:bottom="1134" w:left="1440" w:header="709" w:footer="709" w:gutter="0"/>
          <w:lnNumType w:countBy="1"/>
          <w:pgNumType w:start="121"/>
          <w:cols w:space="708"/>
          <w:titlePg/>
          <w:docGrid w:linePitch="360"/>
        </w:sectPr>
      </w:pPr>
    </w:p>
    <w:p w14:paraId="648E5A62" w14:textId="60122911" w:rsidR="00E52D0F" w:rsidRPr="00766F56" w:rsidRDefault="00E11B1F" w:rsidP="00766F56">
      <w:pPr>
        <w:spacing w:after="0" w:line="360" w:lineRule="auto"/>
        <w:jc w:val="both"/>
        <w:rPr>
          <w:rFonts w:ascii="Minion Pro" w:hAnsi="Minion Pro" w:cs="Times New Roman"/>
          <w:b/>
          <w:bCs/>
          <w:sz w:val="24"/>
          <w:szCs w:val="24"/>
        </w:rPr>
      </w:pPr>
      <w:r>
        <w:rPr>
          <w:rFonts w:ascii="Minion Pro" w:hAnsi="Minion Pro" w:cs="Times New Roman"/>
          <w:b/>
          <w:bCs/>
          <w:color w:val="4472C4"/>
          <w:sz w:val="24"/>
          <w:szCs w:val="24"/>
        </w:rPr>
        <w:t xml:space="preserve">1. </w:t>
      </w:r>
      <w:r w:rsidR="005849EC">
        <w:rPr>
          <w:rFonts w:ascii="Minion Pro" w:hAnsi="Minion Pro" w:cs="Times New Roman"/>
          <w:b/>
          <w:bCs/>
          <w:color w:val="4472C4"/>
          <w:sz w:val="24"/>
          <w:szCs w:val="24"/>
        </w:rPr>
        <w:t>Int</w:t>
      </w:r>
      <w:r w:rsidR="00030D07">
        <w:rPr>
          <w:rFonts w:ascii="Minion Pro" w:hAnsi="Minion Pro" w:cs="Times New Roman"/>
          <w:b/>
          <w:bCs/>
          <w:color w:val="4472C4"/>
          <w:sz w:val="24"/>
          <w:szCs w:val="24"/>
        </w:rPr>
        <w:t>r</w:t>
      </w:r>
      <w:r w:rsidR="005849EC">
        <w:rPr>
          <w:rFonts w:ascii="Minion Pro" w:hAnsi="Minion Pro" w:cs="Times New Roman"/>
          <w:b/>
          <w:bCs/>
          <w:color w:val="4472C4"/>
          <w:sz w:val="24"/>
          <w:szCs w:val="24"/>
        </w:rPr>
        <w:t>oduction</w:t>
      </w:r>
      <w:r w:rsidR="00FD6178" w:rsidRPr="00766F56">
        <w:rPr>
          <w:rFonts w:ascii="Minion Pro" w:hAnsi="Minion Pro" w:cs="Times New Roman"/>
          <w:b/>
          <w:bCs/>
          <w:sz w:val="24"/>
          <w:szCs w:val="24"/>
        </w:rPr>
        <w:t xml:space="preserve"> </w:t>
      </w:r>
    </w:p>
    <w:p w14:paraId="4922B67B" w14:textId="288D51A7" w:rsidR="009F557E" w:rsidRDefault="00C203E1" w:rsidP="009F557E">
      <w:pPr>
        <w:pStyle w:val="MDPI31text"/>
        <w:spacing w:line="360" w:lineRule="auto"/>
        <w:ind w:left="0" w:firstLine="720"/>
        <w:rPr>
          <w:rFonts w:ascii="Minion Pro" w:hAnsi="Minion Pro"/>
        </w:rPr>
      </w:pPr>
      <w:r w:rsidRPr="00C203E1">
        <w:rPr>
          <w:rFonts w:ascii="Minion Pro" w:hAnsi="Minion Pro"/>
        </w:rPr>
        <w:t xml:space="preserve">The tropics are seeing fast economic growth, which naturally puts great strain on the region's natural resources, most notably its forests. Pressures on the land have massive effects on ecosystem resilience, soil and water sustainability, and tropical peatland in Indonesia, all of which have significant social and economic effects. </w:t>
      </w:r>
      <w:r w:rsidRPr="00C203E1">
        <w:rPr>
          <w:rFonts w:ascii="Minion Pro" w:hAnsi="Minion Pro"/>
        </w:rPr>
        <w:lastRenderedPageBreak/>
        <w:t xml:space="preserve">Reducing deforestation can generate multiple economic, </w:t>
      </w:r>
      <w:proofErr w:type="gramStart"/>
      <w:r w:rsidRPr="00C203E1">
        <w:rPr>
          <w:rFonts w:ascii="Minion Pro" w:hAnsi="Minion Pro"/>
        </w:rPr>
        <w:t>social</w:t>
      </w:r>
      <w:proofErr w:type="gramEnd"/>
      <w:r w:rsidRPr="00C203E1">
        <w:rPr>
          <w:rFonts w:ascii="Minion Pro" w:hAnsi="Minion Pro"/>
        </w:rPr>
        <w:t xml:space="preserve"> and ecological benefits by safeguarding the climate and other ecosystem services provided by forests. Understanding the relative contribution of different drivers of deforestation is needed to guide policies seeking to maintain natural forest cover </w:t>
      </w:r>
      <w:r w:rsidRPr="00C203E1">
        <w:rPr>
          <w:rFonts w:ascii="Minion Pro" w:hAnsi="Minion Pro"/>
        </w:rPr>
        <w:fldChar w:fldCharType="begin" w:fldLock="1"/>
      </w:r>
      <w:r w:rsidR="00147C11">
        <w:rPr>
          <w:rFonts w:ascii="Minion Pro" w:hAnsi="Minion Pro"/>
        </w:rPr>
        <w:instrText>ADDIN CSL_CITATION {"citationItems":[{"id":"ITEM-1","itemData":{"DOI":"10.1038/s41559-020-01368-x","ISBN":"4155902001368","ISSN":"2397334X","PMID":"33349655","author":[{"dropping-particle":"","family":"Silva Junior","given":"Celso H.L.","non-dropping-particle":"","parse-names":false,"suffix":""},{"dropping-particle":"","family":"Pessôa","given":"Ana C.M.","non-dropping-particle":"","parse-names":false,"suffix":""},{"dropping-particle":"","family":"Carvalho","given":"Nathália S.","non-dropping-particle":"","parse-names":false,"suffix":""},{"dropping-particle":"","family":"Reis","given":"João B.C.","non-dropping-particle":"","parse-names":false,"suffix":""},{"dropping-particle":"","family":"Anderson","given":"Liana O.","non-dropping-particle":"","parse-names":false,"suffix":""},{"dropping-particle":"","family":"Aragão","given":"Luiz E.O.C.","non-dropping-particle":"","parse-names":false,"suffix":""}],"container-title":"Nature Ecology and Evolution","id":"ITEM-1","issue":"2","issued":{"date-parts":[["2021"]]},"page":"144-145","publisher":"Springer US","title":"The Brazilian Amazon deforestation rate in 2020 is the greatest of the decade","type":"article-journal","volume":"5"},"uris":["http://www.mendeley.com/documents/?uuid=6ccf2d24-fd10-42b3-b4bc-91c7bdc990d7"]},{"id":"ITEM-2","itemData":{"DOI":"10.3389/ffgc.2022.756115","ISSN":"2624893X","abstract":"Climate policy has thus far focused solely on carbon stocks and sequestration to evaluate the potential of forests to mitigate global warming. These factors are used to assess the impacts of different drivers of deforestation and forest degradation as well as alternative forest management. However, when forest cover, structure and composition change, shifts in biophysical processes (the water and energy balances) may enhance or diminish the climate effects of carbon released from forest aboveground biomass. The net climate impact of carbon effects and biophysical effects determines outcomes for forest and agricultural species as well as the humans who depend on them. Evaluating the net impact is complicated by the disparate spatio-temporal scales at which they operate. Here we review the biophysical mechanisms by which forests influence climate and synthesize recent work on the biophysical climate forcing of forests across latitudes. We then combine published data on the biophysical effects of deforestation on climate by latitude with a new analysis of the climate impact of the CO2 in forest aboveground biomass by latitude to quantitatively assess how these processes combine to shape local and global climate. We find that tropical deforestation leads to strong net global warming as a result of both CO2 and biophysical effects. From the tropics to a point between 30°N and 40°N, biophysical cooling by standing forests is both local and global, adding to the global cooling effect of CO2 sequestered by forests. In the mid-latitudes up to 50°N, deforestation leads to modest net global warming as warming from released forest carbon outweighs a small opposing biophysical cooling. Beyond 50°N large scale deforestation leads to a net global cooling due to the dominance of biophysical processes (particularly increased albedo) over warming from CO2 released. Locally at all latitudes, forest biophysical impacts far outweigh CO2 effects, promoting local climate stability by reducing extreme temperatures in all seasons and times of day. The importance of forests for both global climate change mitigation and local adaptation by human and non-human species is not adequately captured by current carbon-centric metrics, particularly in the context of future climate warming.","author":[{"dropping-particle":"","family":"Lawrence","given":"Deborah","non-dropping-particle":"","parse-names":false,"suffix":""},{"dropping-particle":"","family":"Coe","given":"Michael","non-dropping-particle":"","parse-names":false,"suffix":""},{"dropping-particle":"","family":"Walker","given":"Wayne","non-dropping-particle":"","parse-names":false,"suffix":""},{"dropping-particle":"","family":"Verchot","given":"Louis","non-dropping-particle":"","parse-names":false,"suffix":""},{"dropping-particle":"","family":"Vandecar","given":"Karen","non-dropping-particle":"","parse-names":false,"suffix":""}],"container-title":"Frontiers in Forests and Global Change","id":"ITEM-2","issue":"March","issued":{"date-parts":[["2022"]]},"page":"1-13","title":"The Unseen Effects of Deforestation: Biophysical Effects on Climate","type":"article-journal","volume":"5"},"uris":["http://www.mendeley.com/documents/?uuid=e18e0851-0019-4c79-a5bc-cff049e38d48"]},{"id":"ITEM-3","itemData":{"DOI":"10.1088/1748-9326/ab6b35","ISSN":"17489326","abstract":"Reducing deforestation can generate multiple economic, social and ecological benefits by safeguarding the climate and other ecosystem services provided by forests. Understanding the relative contribution of different drivers of deforestation is needed to guide policies seeking to maintain natural forest cover. We assessed 119 randomly selected plots from areas deforested between 2010 and 2017, in Tanzania. Through ground surveys and stakeholder interviews we assessed the proximate deforestation drivers at each point. Crop cultivation was the most commonly observed driver occurring in 89% of plots, compared to livestock grazing (69%) and charcoal (35%). There was evidence of fire in 77% of plots. Most deforestation events involved multiple drivers, with 83% of plots showing signs of two or more drivers. Stakeholder interviews identified agriculture as the primary deforestation driver in 81% of plots, substantially more than charcoal production (12%), timber harvesting (1%) and livestock (1%). Policy-makers in Tanzania have sought to reduce deforestation by reducing demand for charcoal. However, our work demonstrates that agriculture, not charcoal, is the main driver of deforestation in Tanzania. Beyond protected areas, there is no clear policy limiting the conversion of forests to agricultural land. Reducing deforestation in Tanzania requires greater inter-sectoral coordination between the agriculture, livestock, land, energy and forest sectors.","author":[{"dropping-particle":"","family":"Doggart","given":"Nike","non-dropping-particle":"","parse-names":false,"suffix":""},{"dropping-particle":"","family":"Morgan-Brown","given":"Theron","non-dropping-particle":"","parse-names":false,"suffix":""},{"dropping-particle":"","family":"Lyimo","given":"Emmanuel","non-dropping-particle":"","parse-names":false,"suffix":""},{"dropping-particle":"","family":"Mbilinyi","given":"Boniface","non-dropping-particle":"","parse-names":false,"suffix":""},{"dropping-particle":"","family":"Meshack","given":"Charles K.","non-dropping-particle":"","parse-names":false,"suffix":""},{"dropping-particle":"","family":"Sallu","given":"Susannah M.","non-dropping-particle":"","parse-names":false,"suffix":""},{"dropping-particle":"V.","family":"Spracklen","given":"Dominick","non-dropping-particle":"","parse-names":false,"suffix":""}],"container-title":"Environmental Research Letters","id":"ITEM-3","issue":"3","issued":{"date-parts":[["2020"]]},"publisher":"IOP Publishing","title":"Agriculture is the main driver of deforestation in Tanzania","type":"article-journal","volume":"15"},"uris":["http://www.mendeley.com/documents/?uuid=a479a6b0-1e4d-4ce1-b4b5-be086c6e4a6c"]}],"mendeley":{"formattedCitation":"(Doggart et al., 2020; Lawrence et al., 2022; Silva Junior et al., 2021)","plainTextFormattedCitation":"(Doggart et al., 2020; Lawrence et al., 2022; Silva Junior et al., 2021)","previouslyFormattedCitation":"(Doggart et al., 2020; Lawrence, Coe, Walker, Verchot, &amp; Vandecar, 2022; Silva Junior et al., 2021)"},"properties":{"noteIndex":0},"schema":"https://github.com/citation-style-language/schema/raw/master/csl-citation.json"}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(Doggart et al., 2020; Lawrence et al., 2022; Silva Junior et al., 2021)</w:t>
      </w:r>
      <w:r w:rsidRPr="00C203E1">
        <w:rPr>
          <w:rFonts w:ascii="Minion Pro" w:hAnsi="Minion Pro"/>
        </w:rPr>
        <w:fldChar w:fldCharType="end"/>
      </w:r>
      <w:r w:rsidRPr="00C203E1">
        <w:rPr>
          <w:rFonts w:ascii="Minion Pro" w:hAnsi="Minion Pro"/>
        </w:rPr>
        <w:t xml:space="preserve">. Therefore, monitoring land status or condition is desired in the context of sustainable land use. The only practical and affordable way to get the essential data on the environment is through satellite remote sensing, given the geographical and temporal scales of relevance </w:t>
      </w:r>
      <w:r w:rsidRPr="00C203E1">
        <w:rPr>
          <w:rFonts w:ascii="Minion Pro" w:hAnsi="Minion Pro"/>
        </w:rPr>
        <w:fldChar w:fldCharType="begin" w:fldLock="1"/>
      </w:r>
      <w:r w:rsidR="00AE1B92">
        <w:rPr>
          <w:rFonts w:ascii="Minion Pro" w:hAnsi="Minion Pro"/>
        </w:rPr>
        <w:instrText>ADDIN CSL_CITATION {"citationItems":[{"id":"ITEM-1","itemData":{"author":[{"dropping-particle":"","family":"Foody","given":"Giles M","non-dropping-particle":"","parse-names":false,"suffix":""},{"dropping-particle":"","family":"Cutler","given":"Mark E","non-dropping-particle":"","parse-names":false,"suffix":""},{"dropping-particle":"","family":"Mcmorrow","given":"Julia","non-dropping-particle":"","parse-names":false,"suffix":""},{"dropping-particle":"","family":"Pelz","given":"Dieter","non-dropping-particle":"","parse-names":false,"suffix":""},{"dropping-particle":"","family":"Tangki","given":"Hamzah","non-dropping-particle":"","parse-names":false,"suffix":""},{"dropping-particle":"","family":"Boyd","given":"Doreen S","non-dropping-particle":"","parse-names":false,"suffix":""},{"dropping-particle":"","family":"Douglas","given":"I A N","non-dropping-particle":"","parse-names":false,"suffix":""}],"id":"ITEM-1","issued":{"date-parts":[["2001"]]},"page":"379-387","title":"Mapping the biomass of Bornean tropical rain forest from remotely sensed data ESTIMATION AND MAPPING","type":"article-journal"},"uris":["http://www.mendeley.com/documents/?uuid=a97aed4a-e089-4a5a-aa33-9f9f88760ef0"]},{"id":"ITEM-2","itemData":{"DOI":"10.1080/0143116031000103853","ISSN":"13665901","abstract":"The potential to derive indicators of sustainable resource use from satellite remote sensing is discussed. Particular attention focuses on indicators related to land cover condition and type in tropical forest environments. This includes the mapping of forest cover, estimation of biomass and biodiversity as well as the impacts of extreme events such as drought on the forest. Each of these issues is discussed with emphasis placed on the potential to increase the level of information extraction beyond that derived with conventional approaches in order to more usefully inform sustainable development practices. © 2003 Taylor &amp; Francis Group, LLC.","author":[{"dropping-particle":"","family":"Foody","given":"G. M.","non-dropping-particle":"","parse-names":false,"suffix":""}],"container-title":"International Journal of Remote Sensing","id":"ITEM-2","issue":"20","issued":{"date-parts":[["2003"]]},"page":"4035-4046","title":"Remote sensing of tropical forest environments: Towards the monitoring of environmental resources for sustainable development","type":"article-journal","volume":"24"},"uris":["http://www.mendeley.com/documents/?uuid=e155d25e-1c83-442e-8a3e-559118715821"]}],"mendeley":{"formattedCitation":"(G. M. Foody, 2003; Giles M Foody et al., 2001)","plainTextFormattedCitation":"(G. M. Foody, 2003; Giles M Foody et al., 2001)","previouslyFormattedCitation":"(G. M. Foody, 2003; Giles M Foody et al., 2001)"},"properties":{"noteIndex":0},"schema":"https://github.com/citation-style-language/schema/raw/master/csl-citation.json"}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(G. M. Foody, 2003; Giles M Foody et al., 2001)</w:t>
      </w:r>
      <w:r w:rsidRPr="00C203E1">
        <w:rPr>
          <w:rFonts w:ascii="Minion Pro" w:hAnsi="Minion Pro"/>
        </w:rPr>
        <w:fldChar w:fldCharType="end"/>
      </w:r>
      <w:r w:rsidRPr="00C203E1">
        <w:rPr>
          <w:rFonts w:ascii="Minion Pro" w:hAnsi="Minion Pro"/>
        </w:rPr>
        <w:t xml:space="preserve">.  </w:t>
      </w:r>
    </w:p>
    <w:p w14:paraId="2BD5B265" w14:textId="77777777" w:rsidR="009F557E" w:rsidRDefault="00C203E1" w:rsidP="009F557E">
      <w:pPr>
        <w:pStyle w:val="MDPI31text"/>
        <w:spacing w:line="360" w:lineRule="auto"/>
        <w:ind w:left="0" w:firstLine="720"/>
        <w:rPr>
          <w:rFonts w:ascii="Minion Pro" w:hAnsi="Minion Pro"/>
        </w:rPr>
      </w:pPr>
      <w:r w:rsidRPr="00C203E1">
        <w:rPr>
          <w:rFonts w:ascii="Minion Pro" w:hAnsi="Minion Pro"/>
          <w:color w:val="auto"/>
        </w:rPr>
        <w:t xml:space="preserve">For at least the next 100 years, the biggest threat to ecological systems will come from changing land cover, one of the most significant drivers of environmental change </w:t>
      </w:r>
      <w:r w:rsidRPr="00C203E1">
        <w:rPr>
          <w:rFonts w:ascii="Minion Pro" w:hAnsi="Minion Pro"/>
          <w:color w:val="auto"/>
        </w:rPr>
        <w:fldChar w:fldCharType="begin" w:fldLock="1"/>
      </w:r>
      <w:r w:rsidR="00AE1B92">
        <w:rPr>
          <w:rFonts w:ascii="Minion Pro" w:hAnsi="Minion Pro"/>
          <w:color w:val="auto"/>
        </w:rPr>
        <w:instrText>ADDIN CSL_CITATION {"citationItems":[{"id":"ITEM-1","itemData":{"DOI":"10.1038/35012241","ISSN":"00280836","abstract":"Human alteration of the global environment has triggered the sixth major extinction event in the history of life and caused widespread changes in the global distribution of organisms. These changes in biodiversity alter ecosystem processes and change the resilience of ecosystems to environmental change. This has profound consequences for services that humans derive from ecosystems. The large ecological and societal consequences of changing biodiversity should be minimized to preserve options for future solutions to global environmental problems.","author":[{"dropping-particle":"","family":"Chapin","given":"F. Stuart","non-dropping-particle":"","parse-names":false,"suffix":""},{"dropping-particle":"","family":"Zavaleta","given":"Erika S.","non-dropping-particle":"","parse-names":false,"suffix":""},{"dropping-particle":"","family":"Eviner","given":"Valerie T.","non-dropping-particle":"","parse-names":false,"suffix":""},{"dropping-particle":"","family":"Naylor","given":"Rosamond L.","non-dropping-particle":"","parse-names":false,"suffix":""},{"dropping-particle":"","family":"Vitousek","given":"Peter M.","non-dropping-particle":"","parse-names":false,"suffix":""},{"dropping-particle":"","family":"Reynolds","given":"Heather L.","non-dropping-particle":"","parse-names":false,"suffix":""},{"dropping-particle":"","family":"Hooper","given":"David U.","non-dropping-particle":"","parse-names":false,"suffix":""},{"dropping-particle":"","family":"Lavorel","given":"Sandra","non-dropping-particle":"","parse-names":false,"suffix":""},{"dropping-particle":"","family":"Sala","given":"Osvaldo E.","non-dropping-particle":"","parse-names":false,"suffix":""},{"dropping-particle":"","family":"Hobbie","given":"Sarah E.","non-dropping-particle":"","parse-names":false,"suffix":""},{"dropping-particle":"","family":"Mack","given":"Michelle C.","non-dropping-particle":"","parse-names":false,"suffix":""},{"dropping-particle":"","family":"Díaz","given":"Sandra","non-dropping-particle":"","parse-names":false,"suffix":""}],"container-title":"Nature","id":"ITEM-1","issue":"6783","issued":{"date-parts":[["2000"]]},"title":"Consequences of changing biodiversity","type":"article","volume":"405"},"uris":["http://www.mendeley.com/documents/?uuid=a7375356-40c3-39f5-b34a-1d564cd045b0"]}],"mendeley":{"formattedCitation":"(Chapin et al., 2000)","plainTextFormattedCitation":"(Chapin et al., 2000)","previouslyFormattedCitation":"(Chapin et al., 2000)"},"properties":{"noteIndex":0},"schema":"https://github.com/citation-style-language/schema/raw/master/csl-citation.json"}</w:instrText>
      </w:r>
      <w:r w:rsidRPr="00C203E1">
        <w:rPr>
          <w:rFonts w:ascii="Minion Pro" w:hAnsi="Minion Pro"/>
          <w:color w:val="auto"/>
        </w:rPr>
        <w:fldChar w:fldCharType="separate"/>
      </w:r>
      <w:r w:rsidR="00AE1B92" w:rsidRPr="00AE1B92">
        <w:rPr>
          <w:rFonts w:ascii="Minion Pro" w:hAnsi="Minion Pro"/>
          <w:noProof/>
          <w:color w:val="auto"/>
        </w:rPr>
        <w:t>(Chapin et al., 2000)</w:t>
      </w:r>
      <w:r w:rsidRPr="00C203E1">
        <w:rPr>
          <w:rFonts w:ascii="Minion Pro" w:hAnsi="Minion Pro"/>
          <w:color w:val="auto"/>
        </w:rPr>
        <w:fldChar w:fldCharType="end"/>
      </w:r>
      <w:r w:rsidRPr="00C203E1">
        <w:rPr>
          <w:rFonts w:ascii="Minion Pro" w:hAnsi="Minion Pro"/>
        </w:rPr>
        <w:t xml:space="preserve">. The serious degradation of the vast peatlands of Indonesia since the 1990s is the proximate cause of the haze that endangers public health in Indonesian Sumatra and Borneo, </w:t>
      </w:r>
      <w:proofErr w:type="gramStart"/>
      <w:r w:rsidRPr="00C203E1">
        <w:rPr>
          <w:rFonts w:ascii="Minion Pro" w:hAnsi="Minion Pro"/>
        </w:rPr>
        <w:t>and also</w:t>
      </w:r>
      <w:proofErr w:type="gramEnd"/>
      <w:r w:rsidRPr="00C203E1">
        <w:rPr>
          <w:rFonts w:ascii="Minion Pro" w:hAnsi="Minion Pro"/>
        </w:rPr>
        <w:t xml:space="preserve"> in neighboring Singapore, Malaysia and Thailand. Moreover peatlands that have been drained and cleared for plantations are a major contributor to greenhouse gas emissions </w:t>
      </w:r>
      <w:r w:rsidRPr="00C203E1">
        <w:rPr>
          <w:rFonts w:ascii="Minion Pro" w:hAnsi="Minion Pro"/>
        </w:rPr>
        <w:fldChar w:fldCharType="begin" w:fldLock="1"/>
      </w:r>
      <w:r w:rsidR="00AE1B92">
        <w:rPr>
          <w:rFonts w:ascii="Minion Pro" w:hAnsi="Minion Pro"/>
        </w:rPr>
        <w:instrText>ADDIN CSL_CITATION {"citationItems":[{"id":"ITEM-1","itemData":{"DOI":"10.1038/35012241","ISSN":"00280836","abstract":"Human alteration of the global environment has triggered the sixth major extinction event in the history of life and caused widespread changes in the global distribution of organisms. These changes in biodiversity alter ecosystem processes and change the resilience of ecosystems to environmental change. This has profound consequences for services that humans derive from ecosystems. The large ecological and societal consequences of changing biodiversity should be minimized to preserve options for future solutions to global environmental problems.","author":[{"dropping-particle":"","family":"Chapin","given":"F. Stuart","non-dropping-particle":"","parse-names":false,"suffix":""},{"dropping-particle":"","family":"Zavaleta","given":"Erika S.","non-dropping-particle":"","parse-names":false,"suffix":""},{"dropping-particle":"","family":"Eviner","given":"Valerie T.","non-dropping-particle":"","parse-names":false,"suffix":""},{"dropping-particle":"","family":"Naylor","given":"Rosamond L.","non-dropping-particle":"","parse-names":false,"suffix":""},{"dropping-particle":"","family":"Vitousek","given":"Peter M.","non-dropping-particle":"","parse-names":false,"suffix":""},{"dropping-particle":"","family":"Reynolds","given":"Heather L.","non-dropping-particle":"","parse-names":false,"suffix":""},{"dropping-particle":"","family":"Hooper","given":"David U.","non-dropping-particle":"","parse-names":false,"suffix":""},{"dropping-particle":"","family":"Lavorel","given":"Sandra","non-dropping-particle":"","parse-names":false,"suffix":""},{"dropping-particle":"","family":"Sala","given":"Osvaldo E.","non-dropping-particle":"","parse-names":false,"suffix":""},{"dropping-particle":"","family":"Hobbie","given":"Sarah E.","non-dropping-particle":"","parse-names":false,"suffix":""},{"dropping-particle":"","family":"Mack","given":"Michelle C.","non-dropping-particle":"","parse-names":false,"suffix":""},{"dropping-particle":"","family":"Díaz","given":"Sandra","non-dropping-particle":"","parse-names":false,"suffix":""}],"container-title":"Nature","id":"ITEM-1","issue":"6783","issued":{"date-parts":[["2000"]]},"title":"Consequences of changing biodiversity","type":"article","volume":"405"},"uris":["http://www.mendeley.com/documents/?uuid=a7375356-40c3-39f5-b34a-1d564cd045b0"]},{"id":"ITEM-2","itemData":{"DOI":"10.1038/s41586-018-0300-2","ISSN":"14764687","PMID":"30046067","abstract":"Tropical forests make an approximately neutral contribution to the global carbon cycle, with intact and recovering forests taking in as much carbon as is released through deforestation and degradation. In the near future, tropical forests are likely to become a carbon source, owing to continued forest loss and the effect of climate change on the ability of the remaining forests to capture excess atmospheric carbon dioxide. This will make it harder to limit global warming to below 2 °C. Encouragingly, recent international agreements commit to halting deforestation and degradation, but a lack of fundamental data for use in monitoring and model design makes policy action difficult.","author":[{"dropping-particle":"","family":"Mitchard","given":"Edward T.A.","non-dropping-particle":"","parse-names":false,"suffix":""}],"container-title":"Nature","id":"ITEM-2","issue":"7715","issued":{"date-parts":[["2018"]]},"page":"527-534","publisher":"Springer US","title":"The tropical forest carbon cycle and climate change","type":"article-journal","volume":"559"},"uris":["http://www.mendeley.com/documents/?uuid=d6ea181e-e50b-41ad-9902-6a8087ccd9ab"]}],"mendeley":{"formattedCitation":"(Chapin et al., 2000; Mitchard, 2018)","plainTextFormattedCitation":"(Chapin et al., 2000; Mitchard, 2018)","previouslyFormattedCitation":"(Chapin et al., 2000; Mitchard, 2018)"},"properties":{"noteIndex":0},"schema":"https://github.com/citation-style-language/schema/raw/master/csl-citation.json"}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(Chapin et al., 2000; Mitchard, 2018)</w:t>
      </w:r>
      <w:r w:rsidRPr="00C203E1">
        <w:rPr>
          <w:rFonts w:ascii="Minion Pro" w:hAnsi="Minion Pro"/>
        </w:rPr>
        <w:fldChar w:fldCharType="end"/>
      </w:r>
      <w:r w:rsidRPr="00C203E1">
        <w:rPr>
          <w:rFonts w:ascii="Minion Pro" w:hAnsi="Minion Pro"/>
        </w:rPr>
        <w:t xml:space="preserve">. Remote sensing has been extensively utilized to track significant land cover changes, </w:t>
      </w:r>
      <w:proofErr w:type="gramStart"/>
      <w:r w:rsidRPr="00C203E1">
        <w:rPr>
          <w:rFonts w:ascii="Minion Pro" w:hAnsi="Minion Pro"/>
        </w:rPr>
        <w:t>as</w:t>
      </w:r>
      <w:proofErr w:type="gramEnd"/>
      <w:r w:rsidRPr="00C203E1">
        <w:rPr>
          <w:rFonts w:ascii="Minion Pro" w:hAnsi="Minion Pro"/>
        </w:rPr>
        <w:t xml:space="preserve"> those brought on by deforestation. But these are only some of the problems. Land cover change has two parts: those where the land cover is amended and those where the cover type is changed. The majority of remote sensing studies have concentrated on changes in land cover rather than those that could have an equal or greater environmental impact </w:t>
      </w:r>
      <w:r w:rsidRPr="00C203E1">
        <w:rPr>
          <w:rFonts w:ascii="Minion Pro" w:hAnsi="Minion Pro"/>
        </w:rPr>
        <w:fldChar w:fldCharType="begin" w:fldLock="1"/>
      </w:r>
      <w:r w:rsidR="00AE1B92">
        <w:rPr>
          <w:rFonts w:ascii="Minion Pro" w:hAnsi="Minion Pro"/>
        </w:rPr>
        <w:instrText>ADDIN CSL_CITATION {"citationItems":[{"id":"ITEM-1","itemData":{"DOI":"10.1046/j.1365-2699.1999.00123.x","ISSN":"1466822X","abstract":"Key issues related to the monitoring by remote sensing of open forest degradation in a tropical context are discussed. Degradation of forest-cover is often a complex process, with some degree of ecological reversibility and a strong interaction with climatic fluctuations. Only a representation of land cover as a continuous field of several biophysical variables can lead to an accurate detection of forest degradation. For this purpose, repetitive measurements of spectral, spatial and temporal indicators of the land surface have to be performed. Each set of indicators brings a specific type of information on the land cover. These indicators must therefore be combined to achieve a comprehensive description of the surface processes. The detection of inter-annual changes in landscape spatial structure is more likely to reveal long term and long lasting land-cover changes, while spectral indicators are more sensitive to fluctuations in primary productivity associated with climatic fluctuations. Different monitoring systems may be optimal for different ecosystems. A long time series of observations is always required. The monitoring of the spatio-temporal distribution of biomass burning may also give indications of open forest degradation.","author":[{"dropping-particle":"","family":"Lambin","given":"Eric F.","non-dropping-particle":"","parse-names":false,"suffix":""}],"container-title":"Global Ecology and Biogeography","id":"ITEM-1","issue":"3-4","issued":{"date-parts":[["1999"]]},"page":"191-198","title":"Monitoring forest degradation in tropical regions by remote sensing: Some methodological issues","type":"article-journal","volume":"8"},"uris":["http://www.mendeley.com/documents/?uuid=6587bcb4-7d41-490e-accc-98502cec115e"]}],"mendeley":{"formattedCitation":"(Lambin, 1999)","plainTextFormattedCitation":"(Lambin, 1999)","previouslyFormattedCitation":"(Lambin, 1999)"},"properties":{"noteIndex":0},"schema":"https://github.com/citation-style-language/schema/raw/master/csl-citation.json"}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(Lambin, 1999)</w:t>
      </w:r>
      <w:r w:rsidRPr="00C203E1">
        <w:rPr>
          <w:rFonts w:ascii="Minion Pro" w:hAnsi="Minion Pro"/>
        </w:rPr>
        <w:fldChar w:fldCharType="end"/>
      </w:r>
      <w:r w:rsidRPr="00C203E1">
        <w:rPr>
          <w:rFonts w:ascii="Minion Pro" w:hAnsi="Minion Pro"/>
        </w:rPr>
        <w:t xml:space="preserve">. The soil and water systems are extremely vulnerable to changes in vegetation, and especially for forest covering, in tropical areas due to the large and frequently heavy rainfall as well as quick biochemical and mineral breakdown processes </w:t>
      </w:r>
      <w:r w:rsidRPr="00C203E1">
        <w:rPr>
          <w:rFonts w:ascii="Minion Pro" w:hAnsi="Minion Pro"/>
        </w:rPr>
        <w:fldChar w:fldCharType="begin" w:fldLock="1"/>
      </w:r>
      <w:r w:rsidR="00AE1B92">
        <w:rPr>
          <w:rFonts w:ascii="Minion Pro" w:hAnsi="Minion Pro"/>
        </w:rPr>
        <w:instrText>ADDIN CSL_CITATION {"citationItems":[{"id":"ITEM-1","itemData":{"DOI":"10.1007/s002670010190","ISSN":"0364152X","abstract":"Land degradation is a great threat for the future and it requires great effort and resources to ameliorate. The major causes of land degradation in Ethiopia are the rapid population increase, severe soil loss, deforestation, low vegetative cover and unbalanced crop and livestock production. Inappropriate land-use systems and land-tenure policies enhance desertification and loss of agrobiodiversity. Utilization of dung and crop residues for fuel and other uses disturbs the sustainability of land resources. The supply of inputs such as fertilizer, farm machinery and credits are very low. The balance between crop, livestock, and forest production is disturbed, and the farmer is forced to put more land into crop production. For environmentally and socially sustainable development, there is an urgent need to promote awareness and understanding of the interdependence of natural, socioeconomic, and political systems at local and national levels. Understanding the current status and causes of land degradation is very important. This paper reveals the important elements of land degradation in Ethiopia and suggests possible solutions that may help to ameliorate the situation.","author":[{"dropping-particle":"","family":"Taddese","given":"GIRMA","non-dropping-particle":"","parse-names":false,"suffix":""}],"container-title":"Environmental Management","id":"ITEM-1","issue":"6","issued":{"date-parts":[["2001"]]},"title":"Land degradation: A challenge to Ethiopia","type":"article","volume":"27"},"uris":["http://www.mendeley.com/documents/?uuid=e36d6e0a-106b-3de2-b503-f646550c1d50"]}],"mendeley":{"formattedCitation":"(Taddese, 2001)","plainTextFormattedCitation":"(Taddese, 2001)","previouslyFormattedCitation":"(Taddese, 2001)"},"properties":{"noteIndex":0},"schema":"https://github.com/citation-style-language/schema/raw/master/csl-citation.json"}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(Taddese, 2001)</w:t>
      </w:r>
      <w:r w:rsidRPr="00C203E1">
        <w:rPr>
          <w:rFonts w:ascii="Minion Pro" w:hAnsi="Minion Pro"/>
        </w:rPr>
        <w:fldChar w:fldCharType="end"/>
      </w:r>
      <w:r w:rsidRPr="00C203E1">
        <w:rPr>
          <w:rFonts w:ascii="Minion Pro" w:hAnsi="Minion Pro"/>
        </w:rPr>
        <w:t>.</w:t>
      </w:r>
    </w:p>
    <w:p w14:paraId="17D834D9" w14:textId="7323E341" w:rsidR="009F557E" w:rsidRDefault="00C203E1" w:rsidP="009F557E">
      <w:pPr>
        <w:pStyle w:val="MDPI31text"/>
        <w:spacing w:line="360" w:lineRule="auto"/>
        <w:ind w:left="0" w:firstLine="720"/>
        <w:rPr>
          <w:rFonts w:ascii="Minion Pro" w:hAnsi="Minion Pro"/>
        </w:rPr>
      </w:pPr>
      <w:r w:rsidRPr="00C203E1">
        <w:rPr>
          <w:rFonts w:ascii="Minion Pro" w:hAnsi="Minion Pro"/>
        </w:rPr>
        <w:t xml:space="preserve">Based on studies by </w:t>
      </w:r>
      <w:r w:rsidRPr="00C203E1">
        <w:rPr>
          <w:rFonts w:ascii="Minion Pro" w:hAnsi="Minion Pro"/>
        </w:rPr>
        <w:fldChar w:fldCharType="begin" w:fldLock="1"/>
      </w:r>
      <w:r w:rsidR="00147C11">
        <w:rPr>
          <w:rFonts w:ascii="Minion Pro" w:hAnsi="Minion Pro"/>
        </w:rPr>
        <w:instrText>ADDIN CSL_CITATION {"citationItems":[{"id":"ITEM-1","itemData":{"DOI":"10.1016/J.FORPOL.2017.01.004","ISSN":"1389-9341","abstract":"Oil palm plantations have been touted as one of the main drivers of deforestation in Indonesia. This paper aims to explain how oil palm companies accumulate power that enables them to control forestland and convert it into oil palm. Specifically, this paper identifies empirical evidence pointing to why oil palm companies emerge as powerful actors in land use conflicts. This paper uses the case of forest lands claimed by different actors – i.e. a timber plantation company, an oil palm company, and local communities – in West Kalimantan, Indonesia. Before the decentralisation policy, the interests of timber plantations were principally safeguarded by coercion from the forest ministry. The timber company was also supported by local communities by promising financial incentives to them. Following the decentralisation policy, additional actors get involved in the land use conflicts leading to more complex power interplays. In fact, some forestlands licensed for timber plantations are used by the oil palm company. Oil palm interests resonate with the economic interests of local governments, who use their legal mandates on land use allocation to facilitate the establishment of oil palm. The power of the oil palm company is also enhanced by the support from local communities, to which it handed more financial incentives than those of the timber plantation. It also used dominant information of customary claims and land appropriation by the ministry of forestry, with which it persuades local communities to pressurize government institutions to support oil palm operations.","author":[{"dropping-particle":"","family":"Prabowo","given":"Doni","non-dropping-particle":"","parse-names":false,"suffix":""},{"dropping-particle":"","family":"Maryudi","given":"Ahmad","non-dropping-particle":"","parse-names":false,"suffix":""},{"dropping-particle":"","family":"Senawi","given":"","non-dropping-particle":"","parse-names":false,"suffix":""},{"dropping-particle":"","family":"Imron","given":"Muhammad A.","non-dropping-particle":"","parse-names":false,"suffix":""}],"container-title":"Forest Policy and Economics","id":"ITEM-1","issued":{"date-parts":[["2017","5","1"]]},"page":"32-39","publisher":"Elsevier","title":"Conversion of forests into oil palm plantations in West Kalimantan, Indonesia: Insights from actors' power and its dynamics","type":"article-journal","volume":"78"},"uris":["http://www.mendeley.com/documents/?uuid=50c95a64-53ad-319e-a522-6ac3b4aec8d0"]},{"id":"ITEM-2","itemData":{"abstract":"Tropical deforestation and climate change / edited by Paulo Moutinho and Stephan Schwartzman. -- Belém - Pará - Brazil : IPAM - Instituto de Pesquisa Ambiental da Amazônia ; Washington DC - USA : Environmental Defense, 2005. ISBN:","author":[{"dropping-particle":"","family":"Moutinho","given":"Paulo","non-dropping-particle":"","parse-names":false,"suffix":""}],"container-title":"Instituto de Pesquisa Ambiental da Amazônia and Environmental Defense","id":"ITEM-2","issued":{"date-parts":[["2005"]]},"title":"(1) (PDF) Tropical Deforestation and Climate Change","type":"book"},"uris":["http://www.mendeley.com/documents/?uuid=cea5f5be-e24b-3bdd-8c18-b8ee7fa3243c"]}],"mendeley":{"formattedCitation":"(Moutinho, 2005; Prabowo et al., 2017)","plainTextFormattedCitation":"(Moutinho, 2005; Prabowo et al., 2017)","previouslyFormattedCitation":"(Moutinho, 2005; Prabowo, Maryudi, Senawi, &amp; Imron, 2017)"},"properties":{"noteIndex":0},"schema":"https://github.com/citation-style-language/schema/raw/master/csl-citation.json"}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(Moutinho, 2005; Prabowo et al., 2017)</w:t>
      </w:r>
      <w:r w:rsidRPr="00C203E1">
        <w:rPr>
          <w:rFonts w:ascii="Minion Pro" w:hAnsi="Minion Pro"/>
        </w:rPr>
        <w:fldChar w:fldCharType="end"/>
      </w:r>
      <w:r w:rsidRPr="00C203E1">
        <w:rPr>
          <w:rFonts w:ascii="Minion Pro" w:hAnsi="Minion Pro"/>
        </w:rPr>
        <w:t xml:space="preserve">, deforestation is affected by policy, social economic, season of event and spatial aspects. The rate of deforestation strongly correlated to location, distance from village or city, road accesses and connectivity </w:t>
      </w:r>
      <w:r w:rsidRPr="00C203E1">
        <w:rPr>
          <w:rFonts w:ascii="Minion Pro" w:hAnsi="Minion Pro"/>
        </w:rPr>
        <w:fldChar w:fldCharType="begin" w:fldLock="1"/>
      </w:r>
      <w:r w:rsidR="00147C11">
        <w:rPr>
          <w:rFonts w:ascii="Minion Pro" w:hAnsi="Minion Pro"/>
        </w:rPr>
        <w:instrText>ADDIN CSL_CITATION {"citationItems":[{"id":"ITEM-1","itemData":{"DOI":"10.1371/journal.pone.0217540","ISSN":"19326203","abstract":"Worldwide, roads are a main driver of deforestation and degradation as they increase forest access along the forest edge. In many tropical areas, unofficial roads go unreported and unrecorded, resulting in inaccurate estimates of intact forested areas. This is the case in central Sumatra, which boasts populations of critically endangered Sumatran elephants (Elephas maximus sumatrensis), tigers (Panthera tigris sumatrae) and other endemic flora and fauna that make the area globally unique. However, maps do not reflect the reality of forest loss in the area. Here we present new maps from 2002 and 2016 of digitized and ground-truthed roads in one of Sumatra’s unique lowland tropical protected areas, Tesso Nilo National Park. Using our newly created roads dataset, we examine the distribution of forest with respect to distance to roads. Our data show &gt;2,400 km of roads within the national park in 2016 –nearly a 10-fold increase from roads known in 2002. Most forest (82–99%) within Tesso Nilo falls within 100 m, 500 m, and 1000 m of road edges. Length of road increased 157% and road density increased from 1.06 km/km2 to 2.63 km/km2 from 2002–2016. Our results suggest that this endemic ecosystem is facing substantial threat from roads and their associated impacts. Without swift management action, such as road closures and increased enforcements by park management, this ecosystem, and its endemic wildlife, could be lost. It is imperative that protected areas worldwide more rigorously consider roads and road effects on ecosystem fragmentation in their conservation plans.","author":[{"dropping-particle":"","family":"Poor","given":"Erin E.","non-dropping-particle":"","parse-names":false,"suffix":""},{"dropping-particle":"","family":"Jati","given":"Virta I.M.","non-dropping-particle":"","parse-names":false,"suffix":""},{"dropping-particle":"","family":"Imron","given":"Muhammad Ali","non-dropping-particle":"","parse-names":false,"suffix":""},{"dropping-particle":"","family":"Kelly","given":"Marcella J.","non-dropping-particle":"","parse-names":false,"suffix":""}],"container-title":"PLoS ONE","id":"ITEM-1","issue":"7","issued":{"date-parts":[["2019"]]},"title":"The road to deforestation: Edge effects in an endemic ecosystem in Sumatra, Indonesia","type":"article-journal","volume":"14"},"uris":["http://www.mendeley.com/documents/?uuid=08688a05-61b5-3381-a847-c4cfc5bf7d8d"]}],"mendeley":{"formattedCitation":"(Poor et al., 2019)","plainTextFormattedCitation":"(Poor et al., 2019)","previouslyFormattedCitation":"(Poor, Jati, Imron, &amp; Kelly, 2019)"},"properties":{"noteIndex":0},"schema":"https://github.com/citation-style-language/schema/raw/master/csl-citation.json"}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(Poor et al., 2019)</w:t>
      </w:r>
      <w:r w:rsidRPr="00C203E1">
        <w:rPr>
          <w:rFonts w:ascii="Minion Pro" w:hAnsi="Minion Pro"/>
        </w:rPr>
        <w:fldChar w:fldCharType="end"/>
      </w:r>
      <w:r w:rsidRPr="00C203E1">
        <w:rPr>
          <w:rFonts w:ascii="Minion Pro" w:hAnsi="Minion Pro"/>
        </w:rPr>
        <w:t xml:space="preserve">. As result, the intensity of deforestation greatly varies between different location, regions, and period of time </w:t>
      </w:r>
      <w:r w:rsidRPr="00C203E1">
        <w:rPr>
          <w:rFonts w:ascii="Minion Pro" w:hAnsi="Minion Pro"/>
        </w:rPr>
        <w:fldChar w:fldCharType="begin" w:fldLock="1"/>
      </w:r>
      <w:r w:rsidR="00AE1B92">
        <w:rPr>
          <w:rFonts w:ascii="Minion Pro" w:hAnsi="Minion Pro"/>
        </w:rPr>
        <w:instrText>ADDIN CSL_CITATION {"citationItems":[{"id":"ITEM-1","itemData":{"DOI":"10.1007/s10661-019-7695-6","ISSN":"15732959","abstract":"Forest fire is considered as one of the major threats to global biodiversity and a significant source of greenhouse gas emissions. Rising temperatures, weather conditions, and topography promote the incidences of fire due to human ignition in South Asia. Because of its synoptic, multi-spectral, and multi-temporal nature, remote sensing data can be a state of art technology for forest fire management. This study focuses on the spatio-temporal patterns of forest fires and identifying hotspots using the novel geospatial technique “emerging hotspot analysis tool” in South Asia. Daily MODIS active fire locations data of 15 years (2003–2017) has been aggregated in order to characterize fire frequency, fire density, and hotspots. A total of 522,348 active fire points have been used to analyze risk of fires across the forest types. Maximum number of forest fires in South Asia was occurring during the January to May. Spatial analysis identified areas of frequent burning and high fire density in South Asian countries. In South Asia, 51% of forest grid cells were affected by fires in 15 years. Highest number of fire incidences was recorded in tropical moist deciduous forest and tropical dry deciduous forest. The emerging hotspots analysis indicates prevalence of sporadic hotspots, followed by historical hotspots, consecutive hotspots, and persistent hotspots in South Asia. Of the seven South Asian countries, Bangladesh has highest emerging hotspot area (34.2%) in forests, followed by 32.2% in India and 29.5% in Nepal. Study results offer critical insights in delineation of fire vulnerable forest landscapes which will stand as a valuable input for strengthening management of fires in South Asia.","author":[{"dropping-particle":"","family":"Reddy","given":"C. Sudhakar","non-dropping-particle":"","parse-names":false,"suffix":""},{"dropping-particle":"","family":"Bird","given":"Natalia Grace","non-dropping-particle":"","parse-names":false,"suffix":""},{"dropping-particle":"","family":"Sreelakshmi","given":"S.","non-dropping-particle":"","parse-names":false,"suffix":""},{"dropping-particle":"","family":"Manikandan","given":"T. Maya","non-dropping-particle":"","parse-names":false,"suffix":""},{"dropping-particle":"","family":"Asra","given":"Mahbooba","non-dropping-particle":"","parse-names":false,"suffix":""},{"dropping-particle":"","family":"Krishna","given":"P. Hari","non-dropping-particle":"","parse-names":false,"suffix":""},{"dropping-particle":"","family":"Jha","given":"C. S.","non-dropping-particle":"","parse-names":false,"suffix":""},{"dropping-particle":"","family":"Rao","given":"P. V.N.","non-dropping-particle":"","parse-names":false,"suffix":""},{"dropping-particle":"","family":"Diwakar","given":"P. G.","non-dropping-particle":"","parse-names":false,"suffix":""}],"container-title":"Environmental Monitoring and Assessment","id":"ITEM-1","issued":{"date-parts":[["2019"]]},"title":"Identification and characterization of spatio-temporal hotspots of forest fires in South Asia","type":"article-journal","volume":"191"},"uris":["http://www.mendeley.com/documents/?uuid=8ed267e2-1a4a-36f2-b75c-d55c61f5d1e5"]}],"mendeley":{"formattedCitation":"(Reddy et al., 2019)","plainTextFormattedCitation":"(Reddy et al., 2019)","previouslyFormattedCitation":"(Reddy et al., 2019)"},"properties":{"noteIndex":0},"schema":"https://github.com/citation-style-language/schema/raw/master/csl-citation.json"}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(Reddy et al., 2019)</w:t>
      </w:r>
      <w:r w:rsidRPr="00C203E1">
        <w:rPr>
          <w:rFonts w:ascii="Minion Pro" w:hAnsi="Minion Pro"/>
        </w:rPr>
        <w:fldChar w:fldCharType="end"/>
      </w:r>
      <w:r w:rsidRPr="00C203E1">
        <w:rPr>
          <w:rFonts w:ascii="Minion Pro" w:hAnsi="Minion Pro"/>
        </w:rPr>
        <w:t xml:space="preserve">. Some researchers analyzed that deforestation in Indonesia strongly influenced by legislation and law, and political setting </w:t>
      </w:r>
      <w:r w:rsidRPr="00C203E1">
        <w:rPr>
          <w:rFonts w:ascii="Minion Pro" w:hAnsi="Minion Pro"/>
        </w:rPr>
        <w:fldChar w:fldCharType="begin" w:fldLock="1"/>
      </w:r>
      <w:r w:rsidR="00AE1B92">
        <w:rPr>
          <w:rFonts w:ascii="Minion Pro" w:hAnsi="Minion Pro"/>
        </w:rPr>
        <w:instrText>ADDIN CSL_CITATION {"citationItems":[{"id":"ITEM-1","itemData":{"DOI":"10.17528/cifor/001057","ISBN":"9798764838","abstract":"S ince early-2000, the Center for International Forestry Research (CIFOR) has conducted research on the decentralisation of forest administration and policies affecting forests in Indonesia. This project has sought to document the real and anticipated impacts of decentralisation on forest management, forest community livelihoods, and economic development at the provincial and district levels. During the initial phase of this research, CIFOR conducted case studies in nine kabupaten or districts, in four provinces: Riau, East Kalimantan, Central Kalimantan, and West Kalimantan. These case studies were carried out in 2000, with follow up visits to some districts conducted in early 2001. As such, the findings presented in the present report and the companion case studies reflect the conditions and processes that existed in the study districts during the initial phase of Indonesia’s decentralisation process. The following reports have been produced by this project. The first of these represents a synthesis of the major findings from the nine case studies, accompanied by a historical analysis of forest administration and forestry sector development in Indonesia, and a discussion of the origins and legal-regulatory basis of the nation’s ongoing decentralisation process. Each of the nine case studies is published as a separate report (with the exception of the study districts in Riau, which have been combined) in order to make the information contained therein more readily accessible to decision-makers involved in the decentralisation process. It is hoped that readers of the case studies will refer to the synthesis report in order to situate the specific case study findings in a broader historical and policy context. During 2002, CIFOR will publish additional case studies from research on decentralisation and forests in West Kalimantan, South Sulawesi and Irian Jaya. CIFOR also plans to carry out follow-up research at several of the original case study districts, and will publish periodic findings from the sites.","author":[{"dropping-particle":"","family":"A.","given":"Casson","non-dropping-particle":"","parse-names":false,"suffix":""}],"container-title":"Decentralisation of policies affecting forests and estate crops in Kutawaringin Timur district, Central Kalimantan","id":"ITEM-1","issued":{"date-parts":[["2001"]]},"title":"Decentralisation of policies affecting forests and estate crops in Kutawaringin Timur district, Central Kalimantan","type":"book"},"uris":["http://www.mendeley.com/documents/?uuid=32c751ea-0bd0-4cd1-bdfe-ae1b5089e287"]}],"mendeley":{"formattedCitation":"(A., 2001)","plainTextFormattedCitation":"(A., 2001)","previouslyFormattedCitation":"(A., 2001)"},"properties":{"noteIndex":0},"schema":"https://github.com/citation-style-language/schema/raw/master/csl-citation.json"}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(A., 2001)</w:t>
      </w:r>
      <w:r w:rsidRPr="00C203E1">
        <w:rPr>
          <w:rFonts w:ascii="Minion Pro" w:hAnsi="Minion Pro"/>
        </w:rPr>
        <w:fldChar w:fldCharType="end"/>
      </w:r>
      <w:r w:rsidRPr="00C203E1">
        <w:rPr>
          <w:rFonts w:ascii="Minion Pro" w:hAnsi="Minion Pro"/>
        </w:rPr>
        <w:t xml:space="preserve">. </w:t>
      </w:r>
    </w:p>
    <w:p w14:paraId="5A83F95C" w14:textId="67E957EE" w:rsidR="009F557E" w:rsidRDefault="00C203E1" w:rsidP="009F557E">
      <w:pPr>
        <w:pStyle w:val="MDPI31text"/>
        <w:spacing w:line="360" w:lineRule="auto"/>
        <w:ind w:left="0" w:firstLine="720"/>
        <w:rPr>
          <w:rFonts w:ascii="Minion Pro" w:hAnsi="Minion Pro"/>
        </w:rPr>
      </w:pPr>
      <w:r w:rsidRPr="00C203E1">
        <w:rPr>
          <w:rFonts w:ascii="Minion Pro" w:hAnsi="Minion Pro"/>
          <w:color w:val="auto"/>
        </w:rPr>
        <w:t xml:space="preserve">Deforestation is a forest cover change into non-forest area or region to other use permanently. However, term of deforestation is still debatable </w:t>
      </w:r>
      <w:r w:rsidRPr="00C203E1">
        <w:rPr>
          <w:rFonts w:ascii="Minion Pro" w:hAnsi="Minion Pro"/>
          <w:color w:val="auto"/>
        </w:rPr>
        <w:fldChar w:fldCharType="begin" w:fldLock="1"/>
      </w:r>
      <w:r w:rsidR="00AE1B92">
        <w:rPr>
          <w:rFonts w:ascii="Minion Pro" w:hAnsi="Minion Pro"/>
          <w:color w:val="auto"/>
        </w:rPr>
        <w:instrText>ADDIN CSL_CITATION {"citationItems":[{"id":"ITEM-1","itemData":{"DOI":"10.17528/cifor/000057","abstract":"Sudah ada beberapa penelitian utama mengenai laju dan penyebab deforestasi di Indonesia akhir-akhir ini dan sudah banyak literatur yang berkaitan dengan hal tersebut, namun masih belum ada konsensus dalam dunia penelitian mengenai masalah-masalah ini. Makalah ini mengulas aspek-aspek ketidakpastian dan kerancuan yang ada, dan mengajukan pertanyaan-pertanyaan yang harus dijawab untuk mendapatkan pokok permasalahan. Diantara pertanyaan-pertanyaan pokok adalah: (1) Bagaimanakah kita mendefinisikan ÒhutanÓ, ÒdeforestasiÓ dan Òpelaku deforestasiÓ dalam konteks Indonesia?; (2) Apakah ciri-ciri sosio-ekonomis dan bagaimanakah praktek penggunaan lahan berbagai pelaku yang dikelompokkan begitu saja di bawah istilah Òperladangan berpindahÓ?; (3) Apakah hubungan antara naiknya kepadatan penduduk dan hilangnya tutupan hutan merupakan hubungan sebab akibat atau hanya kebetulan?; (4) Mengapa beberapa pemegang konsesi nampaknya mengelola konsesinya dengan cukup baik, sedangkan banyak pemegang konsesi lainnya tidak?; (5) Apakah pengaruh nyata restrukturisasi ekonomi makro dan perubahan harga-harga komoditas sejak awal 1980-an pada tutupan hutan? Diusulkan pedoman-pedoman untuk perbaikan penelitian mengenai laju dan penyebab perubahan tutupan hutan. Makalah ini diakhiri dengan catatan akan perlunya menghilangkan kecenderungan mencari penyebab tunggal. Penjelasan-penjelasan yang meyakinkan tentu saja tidak sederhana, karena penyebab-penyebab deforestasi ter- tanam dalam kekuatan-kekuatan sosio-ekonomis yang mapan dan luas jangkauannya","author":[{"dropping-particle":"","family":"W.D.","given":"Sunderlin","non-dropping-particle":"","parse-names":false,"suffix":""},{"dropping-particle":"","family":"I.A.P.","given":"Resosudarmo","non-dropping-particle":"","parse-names":false,"suffix":""}],"container-title":"Laju dan penyebab deforestasi di Indonesia: penelaahan kerancuan dan penyelesaiannya","id":"ITEM-1","issue":"9","issued":{"date-parts":[["1997"]]},"title":"Laju dan penyebab deforestasi di Indonesia: penelaahan kerancuan dan penyelesaiannya","type":"article-journal","volume":"9"},"uris":["http://www.mendeley.com/documents/?uuid=74139d2d-4c21-4229-92ac-7997a4546be7"]}],"mendeley":{"formattedCitation":"(W.D. &amp; I.A.P., 1997)","plainTextFormattedCitation":"(W.D. &amp; I.A.P., 1997)","previouslyFormattedCitation":"(W.D. &amp; I.A.P., 1997)"},"properties":{"noteIndex":0},"schema":"https://github.com/citation-style-language/schema/raw/master/csl-citation.json"}</w:instrText>
      </w:r>
      <w:r w:rsidRPr="00C203E1">
        <w:rPr>
          <w:rFonts w:ascii="Minion Pro" w:hAnsi="Minion Pro"/>
          <w:color w:val="auto"/>
        </w:rPr>
        <w:fldChar w:fldCharType="separate"/>
      </w:r>
      <w:r w:rsidR="00AE1B92" w:rsidRPr="00AE1B92">
        <w:rPr>
          <w:rFonts w:ascii="Minion Pro" w:hAnsi="Minion Pro"/>
          <w:noProof/>
          <w:color w:val="auto"/>
        </w:rPr>
        <w:t>(W.D. &amp; I.A.P., 1997)</w:t>
      </w:r>
      <w:r w:rsidRPr="00C203E1">
        <w:rPr>
          <w:rFonts w:ascii="Minion Pro" w:hAnsi="Minion Pro"/>
          <w:color w:val="auto"/>
        </w:rPr>
        <w:fldChar w:fldCharType="end"/>
      </w:r>
      <w:r w:rsidRPr="00C203E1">
        <w:rPr>
          <w:rFonts w:ascii="Minion Pro" w:hAnsi="Minion Pro"/>
          <w:color w:val="auto"/>
        </w:rPr>
        <w:t xml:space="preserve">. FAO states that deforestation is conversion of forest to other land use. Deforestation is also interpreted as a reduction of tree canopy cover to less than minimum threshold of 10% for a long term with a minimum tree height of 5 meters at minimum area of 0.5 ha </w:t>
      </w:r>
      <w:r w:rsidRPr="00C203E1">
        <w:rPr>
          <w:rFonts w:ascii="Minion Pro" w:hAnsi="Minion Pro"/>
          <w:color w:val="auto"/>
        </w:rPr>
        <w:fldChar w:fldCharType="begin" w:fldLock="1"/>
      </w:r>
      <w:r w:rsidR="00147C11">
        <w:rPr>
          <w:rFonts w:ascii="Minion Pro" w:hAnsi="Minion Pro"/>
          <w:color w:val="auto"/>
        </w:rPr>
        <w:instrText>ADDIN CSL_CITATION {"citationItems":[{"id":"ITEM-1","itemData":{"DOI":"10.17528/cifor/000057","abstract":"Sudah ada beberapa penelitian utama mengenai laju dan penyebab deforestasi di Indonesia akhir-akhir ini dan sudah banyak literatur yang berkaitan dengan hal tersebut, namun masih belum ada konsensus dalam dunia penelitian mengenai masalah-masalah ini. Makalah ini mengulas aspek-aspek ketidakpastian dan kerancuan yang ada, dan mengajukan pertanyaan-pertanyaan yang harus dijawab untuk mendapatkan pokok permasalahan. Diantara pertanyaan-pertanyaan pokok adalah: (1) Bagaimanakah kita mendefinisikan ÒhutanÓ, ÒdeforestasiÓ dan Òpelaku deforestasiÓ dalam konteks Indonesia?; (2) Apakah ciri-ciri sosio-ekonomis dan bagaimanakah praktek penggunaan lahan berbagai pelaku yang dikelompokkan begitu saja di bawah istilah Òperladangan berpindahÓ?; (3) Apakah hubungan antara naiknya kepadatan penduduk dan hilangnya tutupan hutan merupakan hubungan sebab akibat atau hanya kebetulan?; (4) Mengapa beberapa pemegang konsesi nampaknya mengelola konsesinya dengan cukup baik, sedangkan banyak pemegang konsesi lainnya tidak?; (5) Apakah pengaruh nyata restrukturisasi ekonomi makro dan perubahan harga-harga komoditas sejak awal 1980-an pada tutupan hutan? Diusulkan pedoman-pedoman untuk perbaikan penelitian mengenai laju dan penyebab perubahan tutupan hutan. Makalah ini diakhiri dengan catatan akan perlunya menghilangkan kecenderungan mencari penyebab tunggal. Penjelasan-penjelasan yang meyakinkan tentu saja tidak sederhana, karena penyebab-penyebab deforestasi ter- tanam dalam kekuatan-kekuatan sosio-ekonomis yang mapan dan luas jangkauannya","author":[{"dropping-particle":"","family":"W.D.","given":"Sunderlin","non-dropping-particle":"","parse-names":false,"suffix":""},{"dropping-particle":"","family":"I.A.P.","given":"Resosudarmo","non-dropping-particle":"","parse-names":false,"suffix":""}],"container-title":"Laju dan penyebab deforestasi di Indonesia: penelaahan kerancuan dan penyelesaiannya","id":"ITEM-1","issue":"9","issued":{"date-parts":[["1997"]]},"title":"Laju dan penyebab deforestasi di Indonesia: penelaahan kerancuan dan penyelesaiannya","type":"article-journal","volume":"9"},"uris":["http://www.mendeley.com/documents/?uuid=74139d2d-4c21-4229-92ac-7997a4546be7"]},{"id":"ITEM-2","itemData":{"DOI":"10.1016/j.foreco.2009.01.013","ISSN":"03781127","abstract":"In Rondônia State, Brazil, settlement processes have cleared 68,000 km2 of tropical forests since the 1970s. The intensity of deforestation has differed by region depending on driving factors like roads and economic activities. Different histories of land-use activities and rates of change have resulted in mosaics of forest patches embedded in an agricultural matrix. Yet, most assessments of deforestation and its effects on vegetation, soil and water typically focus on landscape patterns of current conditions, yet historical deforestation dynamics can influence current conditions strongly. Here, we develop and describe the use of four land-use dynamic indicators to capture historical land-use changes of catchments and to measure the rate of deforestation (annual deforestation rate), forest regeneration level (secondary forest mean proportion), time since disturbance (mean time since deforestation) and deforestation profile (deforestation profile curvature). We used the proposed indices to analyze a watershed located in central Rondônia. Landsat TM and ETM+ images were used to produce historical land-use maps of the last 18 years, each even year from 1984 to 2002 for 20 catchments. We found that the land-use dynamics indicators are able to distinguish catchments with different land-use change profiles. Four categories of historical land-use were identified: old and dominant pasture cover on small properties, recent deforestation and dominance of secondary growth, old extensive pastures and large forest remnants and, recent deforestation, pasture and large forest remnants. Knowing historical deforestation processes is important to develop appropriate conservation strategies and define priorities and actions for conserving forests currently under deforestation. © 2009 Elsevier B.V. All rights reserved.","author":[{"dropping-particle":"","family":"Ferraz","given":"Silvio Frosini de Barros","non-dropping-particle":"","parse-names":false,"suffix":""},{"dropping-particle":"","family":"Vettorazzi","given":"Carlos Alberto","non-dropping-particle":"","parse-names":false,"suffix":""},{"dropping-particle":"","family":"Theobald","given":"David M.","non-dropping-particle":"","parse-names":false,"suffix":""}],"container-title":"Forest Ecology and Management","id":"ITEM-2","issue":"7","issued":{"date-parts":[["2009"]]},"page":"1586-1595","title":"Using indicators of deforestation and land-use dynamics to support conservation strategies: A case study of central Rondônia, Brazil","type":"article-journal","volume":"257"},"uris":["http://www.mendeley.com/documents/?uuid=a7420e6e-a0d6-4803-b926-cc79874dd141"]},{"id":"ITEM-3","itemData":{"DOI":"10.1016/S0378-1127(02)00335-3","ISSN":"03781127","abstract":"Different authors utilize different formulae to calculate the annual rate of change of forest cover (or its opposite, the annual rate of deforestation) and use different terms to describe it. This generates confusion. I suggest that the annual rate of change of forest cover should be calculated as: r = (1/(t2 - t1)) x ln(A2/A1). This formula is derived from the Compound Interest Law. It is also derived from the mean annual rate of change and for this reason, is more intuitive than the formula used by FAO [q = ((A2/A1)1/(t2-t1)) - 1]. The rate r is always higher than q, but in most cases, the difference between the two quantities is lower than the sampling error. The rate r is significantly higher than q only when deforestation is extremely high. To ease comparisons between sites of annual rates of forest change, the forest area, time of measurements and formulae used should be clearly indicated. © 2002 Elsevier Science B.V. All rights reserved.","author":[{"dropping-particle":"","family":"Puyravaud","given":"Jean Philippe","non-dropping-particle":"","parse-names":false,"suffix":""}],"container-title":"Forest Ecology and Management","id":"ITEM-3","issue":"1-3","issued":{"date-parts":[["2003"]]},"page":"593-596","title":"Standardizing the calculation of the annual rate of deforestation","type":"article-journal","volume":"177"},"uris":["http://www.mendeley.com/documents/?uuid=f08cf7ea-5d3d-467b-9353-d86e3e8b9f08"]}],"mendeley":{"formattedCitation":"(Ferraz et al., 2009; Puyravaud, 2003; W.D. &amp; I.A.P., 1997)","plainTextFormattedCitation":"(Ferraz et al., 2009; Puyravaud, 2003; W.D. &amp; I.A.P., 1997)","previouslyFormattedCitation":"(Ferraz, Vettorazzi, &amp; Theobald, 2009; Puyravaud, 2003; W.D. &amp; I.A.P., 1997)"},"properties":{"noteIndex":0},"schema":"https://github.com/citation-style-language/schema/raw/master/csl-citation.json"}</w:instrText>
      </w:r>
      <w:r w:rsidRPr="00C203E1">
        <w:rPr>
          <w:rFonts w:ascii="Minion Pro" w:hAnsi="Minion Pro"/>
          <w:color w:val="auto"/>
        </w:rPr>
        <w:fldChar w:fldCharType="separate"/>
      </w:r>
      <w:r w:rsidR="00147C11" w:rsidRPr="00147C11">
        <w:rPr>
          <w:rFonts w:ascii="Minion Pro" w:hAnsi="Minion Pro"/>
          <w:noProof/>
          <w:color w:val="auto"/>
        </w:rPr>
        <w:t>(Ferraz et al., 2009; Puyravaud, 2003; W.D. &amp; I.A.P., 1997)</w:t>
      </w:r>
      <w:r w:rsidRPr="00C203E1">
        <w:rPr>
          <w:rFonts w:ascii="Minion Pro" w:hAnsi="Minion Pro"/>
          <w:color w:val="auto"/>
        </w:rPr>
        <w:fldChar w:fldCharType="end"/>
      </w:r>
      <w:r w:rsidRPr="00C203E1">
        <w:rPr>
          <w:rFonts w:ascii="Minion Pro" w:hAnsi="Minion Pro"/>
          <w:color w:val="auto"/>
        </w:rPr>
        <w:t xml:space="preserve">. Deforestation is also defined as forest cover (land cover) causing changes in form of permanent lost cover at both forest cover intact, fragmented and scattered. Deforestation in this study defined as the conversion of natural forest into other land covers, this imply that the logging in plantation forest do not considered as deforestations, otherwise, the conversion of </w:t>
      </w:r>
      <w:r w:rsidRPr="00C203E1">
        <w:rPr>
          <w:rFonts w:ascii="Minion Pro" w:hAnsi="Minion Pro"/>
          <w:color w:val="auto"/>
        </w:rPr>
        <w:lastRenderedPageBreak/>
        <w:t xml:space="preserve">natural forest into plantation forest count as deforestation </w:t>
      </w:r>
      <w:r w:rsidRPr="00C203E1">
        <w:rPr>
          <w:rFonts w:ascii="Minion Pro" w:hAnsi="Minion Pro"/>
          <w:color w:val="auto"/>
        </w:rPr>
        <w:fldChar w:fldCharType="begin" w:fldLock="1"/>
      </w:r>
      <w:r w:rsidR="00147C11">
        <w:rPr>
          <w:rFonts w:ascii="Minion Pro" w:hAnsi="Minion Pro"/>
          <w:color w:val="auto"/>
        </w:rPr>
        <w:instrText>ADDIN CSL_CITATION {"citationItems":[{"id":"ITEM-1","itemData":{"DOI":"10.1088/1748-9326/aaf6db","ISSN":"17489326","abstract":"We investigate the causes of deforestation in Indonesia, a country with one of the highest rates of primary natural forest loss in the tropics, annually between 2001 and 2016. We use high spatial resolution imagery made available on Google Earth to characterize the land cover types following a random selection of deforestation events, drawn from the Global Forest Change dataset. Notorious in the region, large-scale oil palm and timber plantations together contributed more than two-fifths of nationwide deforestation over our study period, with a peak in late aughts followed by a notable decline up to 2016. Conversion of forests to grasslands, which comprised an average of one-fifth of national deforestation, rose sharply in dominance in years following periods of considerable fire activity, particularly in 2016. Small-scale agriculture and small-scale plantations also contributed one-fifth of nationwide forest loss and were the dominant drivers of loss outside the major islands of Indonesia. Although relatively small contributors to total deforestation, logging roads were responsible for a declining share of deforestation, and mining activities were responsible for an increasing share, over the study period. Direct drivers of deforestation in Indonesia are thus spatially and temporally dynamic, suggesting the need for forest conservation policy responses tailored at the subnational level, and new methods for monitoring the causes of deforestation over time.","author":[{"dropping-particle":"","family":"Austin","given":"Kemen G.","non-dropping-particle":"","parse-names":false,"suffix":""},{"dropping-particle":"","family":"Schwantes","given":"Amanda","non-dropping-particle":"","parse-names":false,"suffix":""},{"dropping-particle":"","family":"Gu","given":"Yaofeng","non-dropping-particle":"","parse-names":false,"suffix":""},{"dropping-particle":"","family":"Kasibhatla","given":"Prasad S.","non-dropping-particle":"","parse-names":false,"suffix":""}],"container-title":"Environmental Research Letters","id":"ITEM-1","issue":"2","issued":{"date-parts":[["2019"]]},"publisher":"IOP Publishing","title":"What causes deforestation in Indonesia?","type":"article-journal","volume":"14"},"uris":["http://www.mendeley.com/documents/?uuid=4447f88d-7954-4d09-a50c-7809a675a100"]},{"id":"ITEM-2","itemData":{"DOI":"10.3390/f13030447","ISSN":"19994907","abstract":"Reforestation in the tropics is highlighted as an important intervention to mitigate climate change globally because of its potential for high CO2 removal rates, ranging from 4.5 to 40.7 t CO2e ha−1 yr−1 during the first 20 years of tree growth. Reforestation is critical to meeting emissions’ targets of the Paris Climate Agreement, as well as achieving Indonesia’s Nationally Determined Contribution (NDC) targets. Increasing carbon stocks through forest and land rehabilitation activities (RHL) is one of the Ministry of Environment and Forestry (MoEF) five main strategies for reducing greenhouse gas (GHG) emissions from the land sector. This study focuses on reforestation opportunities to support Indonesia’s NDC in reducing GHG emissions by 2030. We identified unproductive areas of land (shrub, open land) with highly degraded conditions as potential areas for reforestation. Based on Indonesian data of land cover change, we found that reforestation activities during 2019– 2030 (11 years) under a realistic, ambitious and very ambitious scenario may remove carbon up to −0.25 GtCO2e (equal to −23 MtCO2e yr−1), −1.3 GtCO2e (equal to −124 MtCO2e yr−1) and −2.7 GtCO2e (equal to −247 MtCO2e yr−1), respectively. Based on international data of land cover change (Hansen et al. 2013), reforestation activities during 2019–2030, under a realistic, ambitious, and very ambitious scenario, have the opportunities to remove −17 MtCO2e yr−1, −118 MtCO2e yr−1, and −241 MtCO2e yr−1, respectively. This study demonstrates that ambitious and very ambitious scenarios of reforestation activities can significantly contribute to Indonesia’s forestry‐related NDC in 2030 by reducing the Indonesia Business As Usual (BAU) emissions up to 17% and 35%.","author":[{"dropping-particle":"","family":"Basuki","given":"Imam","non-dropping-particle":"","parse-names":false,"suffix":""},{"dropping-particle":"","family":"Adinugroho","given":"Wahyu Catur","non-dropping-particle":"","parse-names":false,"suffix":""},{"dropping-particle":"","family":"Utomo","given":"Nugroho Adi","non-dropping-particle":"","parse-names":false,"suffix":""},{"dropping-particle":"","family":"Syaugi","given":"Ahmad","non-dropping-particle":"","parse-names":false,"suffix":""},{"dropping-particle":"","family":"Tryanto","given":"Dede Hendry","non-dropping-particle":"","parse-names":false,"suffix":""},{"dropping-particle":"","family":"Krisnawati","given":"Haruni","non-dropping-particle":"","parse-names":false,"suffix":""},{"dropping-particle":"","family":"Cook‐patton","given":"Susan C.","non-dropping-particle":"","parse-names":false,"suffix":""},{"dropping-particle":"","family":"Novita","given":"Nisa","non-dropping-particle":"","parse-names":false,"suffix":""}],"container-title":"Forests","id":"ITEM-2","issue":"3","issued":{"date-parts":[["2022"]]},"title":"Reforestation Opportunities in Indonesia: Mitigating Climate Change and Achieving Sustainable Development Goals","type":"article-journal","volume":"13"},"uris":["http://www.mendeley.com/documents/?uuid=9987bfee-5594-3e0b-a5ae-b3deb4c3439a"]},{"id":"ITEM-3","itemData":{"DOI":"10.22146/ijg.23680","ISSN":"00249521","abstract":"Indonesia has developed its forest reference emission level (FREL), using a historical reference period of 1990¬ 2012. Based on official Ministry of Environment and Forestry (MoEF) data, this paper analyses gross deforestation rates and emissions from deforestation in the five provinces of the island of Kalimantan which occurred in the time after 2012, i.e. 2013 until 2015, and puts them in relation to the average annual deforestation and emission rates of each province in the reference period. Even though the overall linear trend of deforestation and emission rates in Kalimantan from 1990 until 2015 goes down, this trend is not reflected in all of the five provinces equally. West and North Kalimantan's rates even seem to be on the rise. The potentials to achieve emission reduction targets thus remain unequal for each province in Kalimantan Island.","author":[{"dropping-particle":"","family":"Wegscheider","given":"Stephanie","non-dropping-particle":"","parse-names":false,"suffix":""},{"dropping-particle":"","family":"Purwanto","given":"Judin","non-dropping-particle":"","parse-names":false,"suffix":""},{"dropping-particle":"","family":"Margono","given":"Belinda A.","non-dropping-particle":"","parse-names":false,"suffix":""},{"dropping-particle":"","family":"Nugroho","given":"Sigit","non-dropping-particle":"","parse-names":false,"suffix":""},{"dropping-particle":"","family":"Budiharto","given":"","non-dropping-particle":"","parse-names":false,"suffix":""},{"dropping-particle":"","family":"Buchholz","given":"Georg","non-dropping-particle":"","parse-names":false,"suffix":""},{"dropping-particle":"","family":"Sugardiman","given":"Ruandha A.","non-dropping-particle":"","parse-names":false,"suffix":""}],"container-title":"Indonesian Journal of Geography","id":"ITEM-3","issue":"2","issued":{"date-parts":[["2019"]]},"page":"109-120","title":"Current achievements to reduce deforestation in Kalimantan","type":"article-journal","volume":"50"},"uris":["http://www.mendeley.com/documents/?uuid=c3271626-2169-4676-ab1f-8027a11eee85"]}],"mendeley":{"formattedCitation":"(Kemen G. Austin et al., 2019; Basuki et al., 2022; Wegscheider et al., 2019)","plainTextFormattedCitation":"(Kemen G. Austin et al., 2019; Basuki et al., 2022; Wegscheider et al., 2019)","previouslyFormattedCitation":"(Kemen G. Austin, Schwantes, Gu, &amp; Kasibhatla, 2019; Basuki et al., 2022; Wegscheider et al., 2019)"},"properties":{"noteIndex":0},"schema":"https://github.com/citation-style-language/schema/raw/master/csl-citation.json"}</w:instrText>
      </w:r>
      <w:r w:rsidRPr="00C203E1">
        <w:rPr>
          <w:rFonts w:ascii="Minion Pro" w:hAnsi="Minion Pro"/>
          <w:color w:val="auto"/>
        </w:rPr>
        <w:fldChar w:fldCharType="separate"/>
      </w:r>
      <w:r w:rsidR="00147C11" w:rsidRPr="00147C11">
        <w:rPr>
          <w:rFonts w:ascii="Minion Pro" w:hAnsi="Minion Pro"/>
          <w:noProof/>
          <w:color w:val="auto"/>
        </w:rPr>
        <w:t>(Kemen G. Austin et al., 2019; Basuki et al., 2022; Wegscheider et al., 2019)</w:t>
      </w:r>
      <w:r w:rsidRPr="00C203E1">
        <w:rPr>
          <w:rFonts w:ascii="Minion Pro" w:hAnsi="Minion Pro"/>
          <w:color w:val="auto"/>
        </w:rPr>
        <w:fldChar w:fldCharType="end"/>
      </w:r>
      <w:r w:rsidRPr="00C203E1">
        <w:rPr>
          <w:rFonts w:ascii="Minion Pro" w:hAnsi="Minion Pro"/>
          <w:color w:val="auto"/>
        </w:rPr>
        <w:t>.</w:t>
      </w:r>
    </w:p>
    <w:p w14:paraId="0D3A0DF9" w14:textId="1BEF9BEC" w:rsidR="009F557E" w:rsidRDefault="00C203E1" w:rsidP="009F557E">
      <w:pPr>
        <w:pStyle w:val="MDPI31text"/>
        <w:spacing w:line="360" w:lineRule="auto"/>
        <w:ind w:left="0" w:firstLine="720"/>
        <w:rPr>
          <w:rFonts w:ascii="Minion Pro" w:hAnsi="Minion Pro"/>
        </w:rPr>
      </w:pPr>
      <w:r w:rsidRPr="00C203E1">
        <w:rPr>
          <w:rFonts w:ascii="Minion Pro" w:hAnsi="Minion Pro"/>
        </w:rPr>
        <w:t xml:space="preserve">Impact of deforestation is huge and covered multiple aspects including economy, biodiversity, and local communities’ livelihood </w:t>
      </w:r>
      <w:r w:rsidRPr="00C203E1">
        <w:rPr>
          <w:rFonts w:ascii="Minion Pro" w:hAnsi="Minion Pro"/>
        </w:rPr>
        <w:fldChar w:fldCharType="begin" w:fldLock="1"/>
      </w:r>
      <w:r w:rsidR="00147C11">
        <w:rPr>
          <w:rFonts w:ascii="Minion Pro" w:hAnsi="Minion Pro"/>
        </w:rPr>
        <w:instrText>ADDIN CSL_CITATION {"citationItems":[{"id":"ITEM-1","itemData":{"DOI":"10.1006/jvbe.1999.1713","ISSN":"00018791","abstract":"This manuscript reports on three studies that utilized five different samples (N = 1211) to construct and validate a multidimensional measure of work-family conflict. The six dimensions of conflict measured include the combination of three forms of work-family conflict (time, strain, and behavior) and two directions of work-family conflict (work interference with family and family interference with work). The three studies assessed the content adequacy, dimensionality, reliability, factor structure invariance, and construct validity of the scale. The design of the final scale provides future researchers the flexibility to measure any of the six dimensions of work-family conflict individually. © 2000 Academic Press.","author":[{"dropping-particle":"","family":"Carlson","given":"Dawn S.","non-dropping-particle":"","parse-names":false,"suffix":""},{"dropping-particle":"","family":"Kacmar","given":"K. Michele","non-dropping-particle":"","parse-names":false,"suffix":""},{"dropping-particle":"","family":"Williams","given":"Larry J.","non-dropping-particle":"","parse-names":false,"suffix":""}],"container-title":"Journal of Vocational Behavior","id":"ITEM-1","issue":"2","issued":{"date-parts":[["2000"]]},"title":"Construction and Initial Validation of a Multidimensional Measure of Work-Family Conflict","type":"article-journal","volume":"56"},"uris":["http://www.mendeley.com/documents/?uuid=af24ebe9-9196-38f1-a0b2-426307f823e8"]},{"id":"ITEM-2","itemData":{"author":[{"dropping-particle":"","family":"Ridder","given":"Ralph M","non-dropping-particle":"","parse-names":false,"suffix":""}],"id":"ITEM-2","issued":{"date-parts":[["2007"]]},"title":"Forestry Department Food and Agriculture Organization of the United Nations GLOBAL FOREST RESOURCES ASSESSMENT 2010 OPTIONS AND RECOMMENDATIONS FOR A GLOBAL REMOTE SENSING SURVEY OF FORESTS","type":"article-journal"},"uris":["http://www.mendeley.com/documents/?uuid=0acaa597-74f5-37f0-b5a7-3aa3e9974bb1"]}],"mendeley":{"formattedCitation":"(Carlson et al., 2000; Ridder, 2007)","plainTextFormattedCitation":"(Carlson et al., 2000; Ridder, 2007)","previouslyFormattedCitation":"(Carlson, Kacmar, &amp; Williams, 2000; Ridder, 2007)"},"properties":{"noteIndex":0},"schema":"https://github.com/citation-style-language/schema/raw/master/csl-citation.json"}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(Carlson et al., 2000; Ridder, 2007)</w:t>
      </w:r>
      <w:r w:rsidRPr="00C203E1">
        <w:rPr>
          <w:rFonts w:ascii="Minion Pro" w:hAnsi="Minion Pro"/>
        </w:rPr>
        <w:fldChar w:fldCharType="end"/>
      </w:r>
      <w:r w:rsidRPr="00C203E1">
        <w:rPr>
          <w:rFonts w:ascii="Minion Pro" w:hAnsi="Minion Pro"/>
        </w:rPr>
        <w:t xml:space="preserve">. Global communities are also affected by the deforestation as it accelerates climate change </w:t>
      </w:r>
      <w:r w:rsidRPr="00C203E1">
        <w:rPr>
          <w:rFonts w:ascii="Minion Pro" w:hAnsi="Minion Pro"/>
        </w:rPr>
        <w:fldChar w:fldCharType="begin" w:fldLock="1"/>
      </w:r>
      <w:r w:rsidR="00AE1B92">
        <w:rPr>
          <w:rFonts w:ascii="Minion Pro" w:hAnsi="Minion Pro"/>
        </w:rPr>
        <w:instrText xml:space="preserve">ADDIN CSL_CITATION {"citationItems":[{"id":"ITEM-1","itemData":{"DOI":"10.1038/nature02121","ISSN":"00280836","PMID":"14712274","abstract":"Climate change over the past </w:instrText>
      </w:r>
      <w:r w:rsidR="00AE1B92">
        <w:rPr>
          <w:rFonts w:ascii="Cambria Math" w:hAnsi="Cambria Math" w:cs="Cambria Math"/>
        </w:rPr>
        <w:instrText>∼</w:instrText>
      </w:r>
      <w:r w:rsidR="00AE1B92">
        <w:rPr>
          <w:rFonts w:ascii="Minion Pro" w:hAnsi="Minion Pro"/>
        </w:rPr>
        <w:instrText>30 years has produced numerous shifts in the distributions and abundances of species and has been implicated in one species-level extinction. Using projections of species' distributions for future climate scenarios, we assess extinction risks for sample regions that cover some 20% of the Earth's terrestrial surface. Exploring three approaches in which the estimated probability of extinction shows a power-law relationship with geographical range size, we predict, on the basis of mid-range climate-warming scenarios for 2050, that 15-37% of species in our sample of regions and taxa will be 'committed to extinction'. When the average of the three methods and two dispersal scenarios is taken, minimal climate-warming scenarios produce lower projections of species committed to extinction (</w:instrText>
      </w:r>
      <w:r w:rsidR="00AE1B92">
        <w:rPr>
          <w:rFonts w:ascii="Cambria Math" w:hAnsi="Cambria Math" w:cs="Cambria Math"/>
        </w:rPr>
        <w:instrText>∼</w:instrText>
      </w:r>
      <w:r w:rsidR="00AE1B92">
        <w:rPr>
          <w:rFonts w:ascii="Minion Pro" w:hAnsi="Minion Pro"/>
        </w:rPr>
        <w:instrText>18%) than mid-range (</w:instrText>
      </w:r>
      <w:r w:rsidR="00AE1B92">
        <w:rPr>
          <w:rFonts w:ascii="Cambria Math" w:hAnsi="Cambria Math" w:cs="Cambria Math"/>
        </w:rPr>
        <w:instrText>∼</w:instrText>
      </w:r>
      <w:r w:rsidR="00AE1B92">
        <w:rPr>
          <w:rFonts w:ascii="Minion Pro" w:hAnsi="Minion Pro"/>
        </w:rPr>
        <w:instrText>24%) and maximum-change (</w:instrText>
      </w:r>
      <w:r w:rsidR="00AE1B92">
        <w:rPr>
          <w:rFonts w:ascii="Cambria Math" w:hAnsi="Cambria Math" w:cs="Cambria Math"/>
        </w:rPr>
        <w:instrText>∼</w:instrText>
      </w:r>
      <w:r w:rsidR="00AE1B92">
        <w:rPr>
          <w:rFonts w:ascii="Minion Pro" w:hAnsi="Minion Pro"/>
        </w:rPr>
        <w:instrText>35%) scenarios. These estimates show the importance of rapid implementation of technologies to decrease greenhouse gas emissions and strategies for carbon sequestration.","author":[{"dropping-particle":"","family":"Thomas","given":"Chris D.","non-dropping-particle":"","parse-names":false,"suffix":""},{"dropping-particle":"","family":"Cameron","given":"Alison","non-dropping-particle":"","parse-names":false,"suffix":""},{"dropping-particle":"","family":"Green","given":"Rhys E.","non-dropping-particle":"","parse-names":false,"suffix":""},{"dropping-particle":"","family":"Bakkenes","given":"Michel","non-dropping-particle":"","parse-names":false,"suffix":""},{"dropping-particle":"","family":"Beaumont","given":"Linda J.","non-dropping-particle":"","parse-names":false,"suffix":""},{"dropping-particle":"","family":"Collingham","given":"Yvonne C.","non-dropping-particle":"","parse-names":false,"suffix":""},{"dropping-particle":"","family":"Erasmus","given":"Barend F.N.","non-dropping-particle":"","parse-names":false,"suffix":""},{"dropping-particle":"","family":"Ferreira De Siqueira","given":"Marinez","non-dropping-particle":"","parse-names":false,"suffix":""},{"dropping-particle":"","family":"Grainger","given":"Alan","non-dropping-particle":"","parse-names":false,"suffix":""},{"dropping-particle":"","family":"Hannah","given":"Lee","non-dropping-particle":"","parse-names":false,"suffix":""},{"dropping-particle":"","family":"Hughes","given":"Lesley","non-dropping-particle":"","parse-names":false,"suffix":""},{"dropping-particle":"","family":"Huntley","given":"Brian","non-dropping-particle":"","parse-names":false,"suffix":""},{"dropping-particle":"","family":"Jaarsveld","given":"Albert S.","non-dropping-particle":"Van","parse-names":false,"suffix":""},{"dropping-particle":"","family":"Midgley","given":"Guy F.","non-dropping-particle":"","parse-names":false,"suffix":""},{"dropping-particle":"","family":"Miles","given":"Lera","non-dropping-particle":"","parse-names":false,"suffix":""},{"dropping-particle":"","family":"Ortega-Huerta","given":"Miguel A.","non-dropping-particle":"","parse-names":false,"suffix":""},{"dropping-particle":"","family":"Peterson","given":"A. Townsend","non-dropping-particle":"","parse-names":false,"suffix":""},{"dropping-particle":"","family":"Phillips","given":"Oliver L.","non-dropping-particle":"","parse-names":false,"suffix":""},{"dropping-particle":"","family":"Williams","given":"Stephen E.","non-dropping-particle":"","parse-names":false,"suffix":""}],"container-title":"Nature","id":"ITEM-1","issue":"6970","issued":{"date-parts":[["2004"]]},"page":"145-148","title":"Extinction risk from climate change","type":"article-journal","volume":"427"},"uris":["http://www.mendeley.com/documents/?uuid=1dabc937-4737-4337-bfeb-50dcbbc98d7f"]}],"mendeley":{"formattedCitation":"(Thomas et al., 2004)","plainTextFormattedCitation":"(Thomas et al., 2004)","previouslyFormattedCitation":"(Thomas et al., 2004)"},"properties":{"noteIndex":0},"schema":"https://github.com/citation-style-language/schema/raw/master/csl-citation.json"}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(Thomas et al., 2004)</w:t>
      </w:r>
      <w:r w:rsidRPr="00C203E1">
        <w:rPr>
          <w:rFonts w:ascii="Minion Pro" w:hAnsi="Minion Pro"/>
        </w:rPr>
        <w:fldChar w:fldCharType="end"/>
      </w:r>
      <w:r w:rsidRPr="00C203E1">
        <w:rPr>
          <w:rFonts w:ascii="Minion Pro" w:hAnsi="Minion Pro"/>
        </w:rPr>
        <w:t xml:space="preserve">. Furthermore, concern rises due to the increase of environmental disaster associate to climate change such as flooding, hurricane, and dryness </w:t>
      </w:r>
      <w:r w:rsidRPr="00C203E1">
        <w:rPr>
          <w:rFonts w:ascii="Minion Pro" w:hAnsi="Minion Pro"/>
        </w:rPr>
        <w:fldChar w:fldCharType="begin" w:fldLock="1"/>
      </w:r>
      <w:r w:rsidR="00147C11">
        <w:rPr>
          <w:rFonts w:ascii="Minion Pro" w:hAnsi="Minion Pro"/>
        </w:rPr>
        <w:instrText>ADDIN CSL_CITATION {"citationItems":[{"id":"ITEM-1","itemData":{"DOI":"10.1093/eurpub/ckz111","ISSN":"1464360X","abstract":"Background: Natural disasters are increasing in their frequency and complexity. Understanding how their cascading effects can lead to infectious disease outbreaks is important for developing cross-sectoral preparedness strategies. The review focussed on earthquakes and floods because of their importance in Europe and their potential to elucidate the pathways through which natural disasters can lead to infectious disease outbreaks. Methods: A systematic literature review complemented by a call for evidence was conducted to identify earthquake or flooding events in Europe associated with potential infectious disease events. Results: This review included 17 peer-reviewed papers that reported on suspected and confirmed infectious disease outbreaks following earthquakes (4 reports) or flooding (13 reports) in Europe. The majority of reports related to food- and water-borne disease. Eleven studies described the cascading effect of post-disaster outbreaks. The most reported driver of disease outbreaks was heavy rainfall, which led to cross-connections between water and other environmental systems, leading to the contamination of rivers, lakes, springs and water supplies. Exposure to contaminated surface water or floodwater following flooding, exposure to animal excreta and post-disaster living conditions were among other reported drivers of outbreaks. Conclusions: The cascade effects of natural disasters, such as earthquakes and floods, include outbreaks of infectious disease. The projection that climate change-related extreme weather events will increase in Europe in the coming century highlights the importance of strengthening preparedness planning and measures to mitigate and control outbreaks in post-disaster settings.","author":[{"dropping-particle":"","family":"Suk","given":"Jonathan E.","non-dropping-particle":"","parse-names":false,"suffix":""},{"dropping-particle":"","family":"Vaughan","given":"Eleanor C.","non-dropping-particle":"","parse-names":false,"suffix":""},{"dropping-particle":"","family":"Cook","given":"Robert G.","non-dropping-particle":"","parse-names":false,"suffix":""},{"dropping-particle":"","family":"Semenza","given":"Jan C.","non-dropping-particle":"","parse-names":false,"suffix":""}],"container-title":"European Journal of Public Health","id":"ITEM-1","issue":"5","issued":{"date-parts":[["2020"]]},"title":"Natural disasters and infectious disease in Europe: A literature review to identify cascading risk pathways","type":"article","volume":"30"},"uris":["http://www.mendeley.com/documents/?uuid=1b3907f3-c8fb-3f6f-a9d6-787665f88d32"]},{"id":"ITEM-2","itemData":{"DOI":"10.3390/su13041624","ISSN":"20711050","abstract":"Coastal communities are exposed to various environmental risks, including natural hazards such as storm surges and flooding. As climate change has escalated, the management of such dangers has grown in importance and urgency, particularly among states with long coast lines. Climate change adaptation and disaster risk reduction have attracted attention from policymakers in South-east Asia, which is one of the most disaster-prone regions. Coastal community resilience, however, is not determined by climate and disaster risks alone, but by other factors as well. Waste pollution is an environmental threat that may affect those who are dependent on marine resources. These multiple factors contribute to coastal resilience and are, in fact, addressed separately as different issues; therefore, conflicts or synergies in respective countermeasures often become oversights in the policy-making processes. Through a case study of key Philippine stakeholders, including fishing communities, we identified impacts of climate change, natural hazards, and waste on the livelihoods of community residents and the interplay among these factors. We aim to better understand the situ-ation on the ground and contribute by improving policy recommendations for coastal communities. An integrated approach to enhance coastal adaptation is critical for maximising the effectiveness of the limited resources of communities.","author":[{"dropping-particle":"","family":"Yoshioka","given":"Nagisa","non-dropping-particle":"","parse-names":false,"suffix":""},{"dropping-particle":"","family":"Era","given":"Marlon","non-dropping-particle":"","parse-names":false,"suffix":""},{"dropping-particle":"","family":"Sasaki","given":"Daisuke","non-dropping-particle":"","parse-names":false,"suffix":""}],"container-title":"Sustainability (Switzerland)","id":"ITEM-2","issue":"4","issued":{"date-parts":[["2021"]]},"title":"Towards integration of climate disaster risk and waste management: A case study of urban and rural coastal communities in the Philippines","type":"article-journal","volume":"13"},"uris":["http://www.mendeley.com/documents/?uuid=bc14a332-6c75-377f-a89e-8e7dc17d6325"]},{"id":"ITEM-3","itemData":{"DOI":"10.1016/j.ijdrr.2013.12.005","ISSN":"22124209","abstract":"An increasing number of studies analyze the relationship between natural disaster damage and income levels, but they do not consider the distinction between public and private disaster mitigation. This paper empirically distinguishes these two types of mitigation using Japanese prefectural panel data from 1975 to 2007. Our results show that public mitigation rather than private mitigation has contributed to mitigating the total damage resulting from natural disasters. Our estimation of cost-benefit ratios for each prefecture confirms that the mitigation efforts of urban prefectures are less effective than those of rural prefectures in focusing on both large and frequent/small disasters. Hence, urban prefectures need to reassess their public mitigation measures. Furthermore, to lessen the damage resulting from extreme catastrophes, policy makers are required to invest in improved mitigation infrastructures when faced with a high probability of disasters. © 2013 Elsevier Ltd.","author":[{"dropping-particle":"","family":"Iwata","given":"Kazuyuki","non-dropping-particle":"","parse-names":false,"suffix":""},{"dropping-particle":"","family":"Ito","given":"Yutaka","non-dropping-particle":"","parse-names":false,"suffix":""},{"dropping-particle":"","family":"Managi","given":"Shunsuke","non-dropping-particle":"","parse-names":false,"suffix":""}],"container-title":"International Journal of Disaster Risk Reduction","id":"ITEM-3","issued":{"date-parts":[["2014"]]},"title":"Public and private mitigation for natural disasters in Japan","type":"article-journal","volume":"7"},"uris":["http://www.mendeley.com/documents/?uuid=46f2c431-cf62-3044-b7a2-abb05168c3c1"]},{"id":"ITEM-4","itemData":{"ISSN":"00498599","abstract":"The implementation of the decentralisation policies in Indonesia, which started in 2000, has fundamentally changed the country's forest governance framework. This study investigates how decentralisation has influenced forest governance, and links the forest governance to deforestation rates at the district level. We measure and compare the quality of forest governance in 11 districts in Central Kalimantan province in the periods 2000-2005 and 2005-2010 and relate forest governance to deforestation rate. This study shows that decentralisation has led to marked differences in forest governance between districts and that deforestation rates is strongly related to the change of forest governance. We recommend revisiting the Indonesian forest governance framework to ensure more checks and balances in decision making, better monitoring and increased transparency, with particular support for Forest Management Units as a new tool for forest management, and government support to facilitate the design and implementation of REDD+ projects.","author":[{"dropping-particle":"","family":"Suwarno","given":"Aritta","non-dropping-particle":"","parse-names":false,"suffix":""},{"dropping-particle":"","family":"Hein","given":"Lars","non-dropping-particle":"","parse-names":false,"suffix":""},{"dropping-particle":"","family":"Sumarga","given":"Elham","non-dropping-particle":"","parse-names":false,"suffix":""}],"container-title":"Quarterly Journal of International Agriculture","id":"ITEM-4","issue":"1","issued":{"date-parts":[["2015"]]},"title":"Governance, decentralisation and deforestation: The case of central Kalimantan Province, Indonesia","type":"article-journal","volume":"54"},"uris":["http://www.mendeley.com/documents/?uuid=70998781-1a40-3342-86b3-f5a2c5edf730"]}],"mendeley":{"formattedCitation":"(Iwata et al., 2014; Suk et al., 2020; Suwarno et al., 2015; Yoshioka et al., 2021)","plainTextFormattedCitation":"(Iwata et al., 2014; Suk et al., 2020; Suwarno et al., 2015; Yoshioka et al., 2021)","previouslyFormattedCitation":"(Iwata, Ito, &amp; Managi, 2014; Suk, Vaughan, Cook, &amp; Semenza, 2020; Suwarno, Hein, &amp; Sumarga, 2015; Yoshioka, Era, &amp; Sasaki, 2021)"},"properties":{"noteIndex":0},"schema":"https://github.com/citation-style-language/schema/raw/master/csl-citation.json"}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(Iwata et al., 2014; Suk et al., 2020; Suwarno et al., 2015; Yoshioka et al., 2021)</w:t>
      </w:r>
      <w:r w:rsidRPr="00C203E1">
        <w:rPr>
          <w:rFonts w:ascii="Minion Pro" w:hAnsi="Minion Pro"/>
        </w:rPr>
        <w:fldChar w:fldCharType="end"/>
      </w:r>
      <w:r w:rsidRPr="00C203E1">
        <w:rPr>
          <w:rFonts w:ascii="Minion Pro" w:hAnsi="Minion Pro"/>
        </w:rPr>
        <w:t xml:space="preserve">. Among anthropogenic activities, Land Use and Land Cover Change (LULC) and deforestation are the main triggered of biodiversity decline. The alteration of forests into plantation or cultivated area has created fragmentation and loss of habitat and resulted decline in biodiversity on earth. Furthermore, loss of biodiversity leads to loss of ecosystem services such as climate regulation, water purifying and many forest products </w:t>
      </w:r>
      <w:r w:rsidRPr="00C203E1">
        <w:rPr>
          <w:rFonts w:ascii="Minion Pro" w:hAnsi="Minion Pro"/>
        </w:rPr>
        <w:fldChar w:fldCharType="begin" w:fldLock="1"/>
      </w:r>
      <w:r w:rsidR="00147C11">
        <w:rPr>
          <w:rFonts w:ascii="Minion Pro" w:hAnsi="Minion Pro"/>
        </w:rPr>
        <w:instrText>ADDIN CSL_CITATION {"citationItems":[{"id":"ITEM-1","itemData":{"DOI":"10.1007/s11027-010-9214-5","ISSN":"13812386","abstract":"Extensive degradation of Indonesian peatlands by deforestation, drainage and recurrent fires causes release of huge amounts of peat soil carbon to the atmosphere. Construction of drainage canals is associated with conversion to other land uses, especially plantations of oil palm and pulpwood trees, and with widespread illegal logging to facilitate timber transport. A lowering of the groundwater level leads to an increase in oxidation and subsidence of peat. Therefore, the groundwater level is the main control on carbon dioxide emissions from peatlands. Restoring the peatland hydrology is the only way to prevent peat oxidation and mitigate CO2 emissions. In this study we present a strategy for improved planning of rewetting measures by dam constructions. The study area is a vast peatland with limited accessibility in Central Kalimantan, Indonesia. Field inventory and remote sensing data are used to generate a detailed 3D model of the peat dome and a hydrological model predicts the rise in groundwater levels once dams have been constructed. Successful rewetting of a 590 km2 large area of drained peat swamp forest could result in mitigated emissions of 1. 4-1. 6 Mt CO2 yearly. This equates to 6% of the carbon dioxide emissions by civil aviation in the European Union in 2006 and can be achieved with relatively small efforts and at low costs. The proposed methodology allows a detailed planning of hydrological restoration of peatlands with interesting impacts on carbon trading for the voluntary carbon market. © The Author(s) 2010.","author":[{"dropping-particle":"","family":"Jaenicke","given":"Julia","non-dropping-particle":"","parse-names":false,"suffix":""},{"dropping-particle":"","family":"Wösten","given":"Henk","non-dropping-particle":"","parse-names":false,"suffix":""},{"dropping-particle":"","family":"Budiman","given":"Arif","non-dropping-particle":"","parse-names":false,"suffix":""},{"dropping-particle":"","family":"Siegert","given":"Florian","non-dropping-particle":"","parse-names":false,"suffix":""}],"container-title":"Mitigation and Adaptation Strategies for Global Change","id":"ITEM-1","issue":"3","issued":{"date-parts":[["2010"]]},"page":"223-239","title":"Planning hydrological restoration of peatlands in Indonesia to mitigate carbon dioxide emissions","type":"article","volume":"15"},"uris":["http://www.mendeley.com/documents/?uuid=69443f79-c477-4da6-a144-950cf57d5641"]}],"mendeley":{"formattedCitation":"(Jaenicke et al., 2010)","plainTextFormattedCitation":"(Jaenicke et al., 2010)","previouslyFormattedCitation":"(Jaenicke, Wösten, Budiman, &amp; Siegert, 2010)"},"properties":{"noteIndex":0},"schema":"https://github.com/citation-style-language/schema/raw/master/csl-citation.json"}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(Jaenicke et al., 2010)</w:t>
      </w:r>
      <w:r w:rsidRPr="00C203E1">
        <w:rPr>
          <w:rFonts w:ascii="Minion Pro" w:hAnsi="Minion Pro"/>
        </w:rPr>
        <w:fldChar w:fldCharType="end"/>
      </w:r>
      <w:r w:rsidRPr="00C203E1">
        <w:rPr>
          <w:rFonts w:ascii="Minion Pro" w:hAnsi="Minion Pro"/>
        </w:rPr>
        <w:t>.</w:t>
      </w:r>
    </w:p>
    <w:p w14:paraId="402E0384" w14:textId="3FE51CF7" w:rsidR="009F557E" w:rsidRDefault="00C203E1" w:rsidP="009F557E">
      <w:pPr>
        <w:pStyle w:val="MDPI31text"/>
        <w:spacing w:line="360" w:lineRule="auto"/>
        <w:ind w:left="0" w:firstLine="720"/>
        <w:rPr>
          <w:rFonts w:ascii="Minion Pro" w:hAnsi="Minion Pro"/>
        </w:rPr>
      </w:pPr>
      <w:r w:rsidRPr="00C203E1">
        <w:rPr>
          <w:rFonts w:ascii="Minion Pro" w:hAnsi="Minion Pro"/>
        </w:rPr>
        <w:t xml:space="preserve">Indonesia particularly Central Kalimantan has a central role in climate change mitigation due to its large forest cover </w:t>
      </w:r>
      <w:r w:rsidRPr="00C203E1">
        <w:rPr>
          <w:rFonts w:ascii="Minion Pro" w:hAnsi="Minion Pro"/>
        </w:rPr>
        <w:fldChar w:fldCharType="begin" w:fldLock="1"/>
      </w:r>
      <w:r w:rsidR="00147C11">
        <w:rPr>
          <w:rFonts w:ascii="Minion Pro" w:hAnsi="Minion Pro"/>
        </w:rPr>
        <w:instrText>ADDIN CSL_CITATION {"citationItems":[{"id":"ITEM-1","itemData":{"DOI":"10.22146/ijg.23680","ISSN":"00249521","abstract":"Indonesia has developed its forest reference emission level (FREL), using a historical reference period of 1990¬ 2012. Based on official Ministry of Environment and Forestry (MoEF) data, this paper analyses gross deforestation rates and emissions from deforestation in the five provinces of the island of Kalimantan which occurred in the time after 2012, i.e. 2013 until 2015, and puts them in relation to the average annual deforestation and emission rates of each province in the reference period. Even though the overall linear trend of deforestation and emission rates in Kalimantan from 1990 until 2015 goes down, this trend is not reflected in all of the five provinces equally. West and North Kalimantan's rates even seem to be on the rise. The potentials to achieve emission reduction targets thus remain unequal for each province in Kalimantan Island.","author":[{"dropping-particle":"","family":"Wegscheider","given":"Stephanie","non-dropping-particle":"","parse-names":false,"suffix":""},{"dropping-particle":"","family":"Purwanto","given":"Judin","non-dropping-particle":"","parse-names":false,"suffix":""},{"dropping-particle":"","family":"Margono","given":"Belinda A.","non-dropping-particle":"","parse-names":false,"suffix":""},{"dropping-particle":"","family":"Nugroho","given":"Sigit","non-dropping-particle":"","parse-names":false,"suffix":""},{"dropping-particle":"","family":"Budiharto","given":"","non-dropping-particle":"","parse-names":false,"suffix":""},{"dropping-particle":"","family":"Buchholz","given":"Georg","non-dropping-particle":"","parse-names":false,"suffix":""},{"dropping-particle":"","family":"Sugardiman","given":"Ruandha A.","non-dropping-particle":"","parse-names":false,"suffix":""}],"container-title":"Indonesian Journal of Geography","id":"ITEM-1","issue":"2","issued":{"date-parts":[["2019"]]},"page":"109-120","title":"Current achievements to reduce deforestation in Kalimantan","type":"article-journal","volume":"50"},"uris":["http://www.mendeley.com/documents/?uuid=c3271626-2169-4676-ab1f-8027a11eee85"]},{"id":"ITEM-2","itemData":{"DOI":"10.1007/s40299-015-0237-2","ISSN":"22437908","abstract":"This conceptual paper argues that to develop students’ twenty first century competencies, teachers need to consider how technological pedagogical content knowledge (TPACK) can be applied through design thinking processes. It proposes a conceptual framework articulating various TPACK considerations and how these various forms of TPACK can be used as epistemic resources to support design thinking for developing ICT-integrated lessons targeted at twenty first century learning. This framework provides an initial vocabulary for describing how teachers create TPACK through design, which is a critical gap in extant TPACK research. Implications for teachers’ design of ICT-integrated lessons as well as future directions of research are discussed.","author":[{"dropping-particle":"","family":"Koh","given":"Joyce Hwee Ling","non-dropping-particle":"","parse-names":false,"suffix":""},{"dropping-particle":"","family":"Chai","given":"Ching Sing","non-dropping-particle":"","parse-names":false,"suffix":""},{"dropping-particle":"","family":"Benjamin","given":"Wong","non-dropping-particle":"","parse-names":false,"suffix":""},{"dropping-particle":"","family":"Hong","given":"Huang Yao","non-dropping-particle":"","parse-names":false,"suffix":""}],"container-title":"Asia-Pacific Education Researcher","id":"ITEM-2","issue":"3","issued":{"date-parts":[["2015"]]},"title":"Technological Pedagogical Content Knowledge (TPACK) and Design Thinking: A Framework to Support ICT Lesson Design for 21st Century Learning","type":"article-journal","volume":"24"},"uris":["http://www.mendeley.com/documents/?uuid=30a6b929-eaa3-326d-a7af-08f6edbbb367"]},{"id":"ITEM-3","itemData":{"author":[{"dropping-particle":"","family":"Ridder","given":"Ralph M","non-dropping-particle":"","parse-names":false,"suffix":""}],"id":"ITEM-3","issued":{"date-parts":[["2007"]]},"title":"Forestry Department Food and Agriculture Organization of the United Nations GLOBAL FOREST RESOURCES ASSESSMENT 2010 OPTIONS AND RECOMMENDATIONS FOR A GLOBAL REMOTE SENSING SURVEY OF FORESTS","type":"article-journal"},"uris":["http://www.mendeley.com/documents/?uuid=0acaa597-74f5-37f0-b5a7-3aa3e9974bb1"]}],"mendeley":{"formattedCitation":"(Koh et al., 2015; Ridder, 2007; Wegscheider et al., 2019)","plainTextFormattedCitation":"(Koh et al., 2015; Ridder, 2007; Wegscheider et al., 2019)","previouslyFormattedCitation":"(Koh, Chai, Benjamin, &amp; Hong, 2015; Ridder, 2007; Wegscheider et al., 2019)"},"properties":{"noteIndex":0},"schema":"https://github.com/citation-style-language/schema/raw/master/csl-citation.json"}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(Koh et al., 2015; Ridder, 2007; Wegscheider et al., 2019)</w:t>
      </w:r>
      <w:r w:rsidRPr="00C203E1">
        <w:rPr>
          <w:rFonts w:ascii="Minion Pro" w:hAnsi="Minion Pro"/>
        </w:rPr>
        <w:fldChar w:fldCharType="end"/>
      </w:r>
      <w:r w:rsidRPr="00C203E1">
        <w:rPr>
          <w:rFonts w:ascii="Minion Pro" w:hAnsi="Minion Pro"/>
        </w:rPr>
        <w:t xml:space="preserve">. As the largest province in Indonesia, Central Kalimantan owns more than 7 million ha forest cover that accounted approximately 49% from the total area of Central Kalimantan. On other hand, this province is also recognized as the largest Green House Gases (GHGs) emitter produced from deforestation and forest fire during a period 1990-2015 </w:t>
      </w:r>
      <w:r w:rsidRPr="00C203E1">
        <w:rPr>
          <w:rFonts w:ascii="Minion Pro" w:hAnsi="Minion Pro"/>
        </w:rPr>
        <w:fldChar w:fldCharType="begin" w:fldLock="1"/>
      </w:r>
      <w:r w:rsidR="00AE1B92">
        <w:rPr>
          <w:rFonts w:ascii="Minion Pro" w:hAnsi="Minion Pro"/>
        </w:rPr>
        <w:instrText>ADDIN CSL_CITATION {"citationItems":[{"id":"ITEM-1","itemData":{"DOI":"10.22146/ijg.23680","ISSN":"00249521","abstract":"Indonesia has developed its forest reference emission level (FREL), using a historical reference period of 1990¬ 2012. Based on official Ministry of Environment and Forestry (MoEF) data, this paper analyses gross deforestation rates and emissions from deforestation in the five provinces of the island of Kalimantan which occurred in the time after 2012, i.e. 2013 until 2015, and puts them in relation to the average annual deforestation and emission rates of each province in the reference period. Even though the overall linear trend of deforestation and emission rates in Kalimantan from 1990 until 2015 goes down, this trend is not reflected in all of the five provinces equally. West and North Kalimantan's rates even seem to be on the rise. The potentials to achieve emission reduction targets thus remain unequal for each province in Kalimantan Island.","author":[{"dropping-particle":"","family":"Wegscheider","given":"Stephanie","non-dropping-particle":"","parse-names":false,"suffix":""},{"dropping-particle":"","family":"Purwanto","given":"Judin","non-dropping-particle":"","parse-names":false,"suffix":""},{"dropping-particle":"","family":"Margono","given":"Belinda A.","non-dropping-particle":"","parse-names":false,"suffix":""},{"dropping-particle":"","family":"Nugroho","given":"Sigit","non-dropping-particle":"","parse-names":false,"suffix":""},{"dropping-particle":"","family":"Budiharto","given":"","non-dropping-particle":"","parse-names":false,"suffix":""},{"dropping-particle":"","family":"Buchholz","given":"Georg","non-dropping-particle":"","parse-names":false,"suffix":""},{"dropping-particle":"","family":"Sugardiman","given":"Ruandha A.","non-dropping-particle":"","parse-names":false,"suffix":""}],"container-title":"Indonesian Journal of Geography","id":"ITEM-1","issue":"2","issued":{"date-parts":[["2019"]]},"page":"109-120","title":"Current achievements to reduce deforestation in Kalimantan","type":"article-journal","volume":"50"},"uris":["http://www.mendeley.com/documents/?uuid=c3271626-2169-4676-ab1f-8027a11eee85"]}],"mendeley":{"formattedCitation":"(Wegscheider et al., 2019)","plainTextFormattedCitation":"(Wegscheider et al., 2019)","previouslyFormattedCitation":"(Wegscheider et al., 2019)"},"properties":{"noteIndex":0},"schema":"https://github.com/citation-style-language/schema/raw/master/csl-citation.json"}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(Wegscheider et al., 2019)</w:t>
      </w:r>
      <w:r w:rsidRPr="00C203E1">
        <w:rPr>
          <w:rFonts w:ascii="Minion Pro" w:hAnsi="Minion Pro"/>
        </w:rPr>
        <w:fldChar w:fldCharType="end"/>
      </w:r>
      <w:r w:rsidRPr="00C203E1">
        <w:rPr>
          <w:rFonts w:ascii="Minion Pro" w:hAnsi="Minion Pro"/>
        </w:rPr>
        <w:t xml:space="preserve">. Beside large forest cover, Central Kalimantan also consists of 30% peatland which is rich in carbon stock. The carbon stored in peat has a positive correlation with the thick of the peat </w:t>
      </w:r>
      <w:r w:rsidRPr="00C203E1">
        <w:rPr>
          <w:rFonts w:ascii="Minion Pro" w:hAnsi="Minion Pro"/>
        </w:rPr>
        <w:fldChar w:fldCharType="begin" w:fldLock="1"/>
      </w:r>
      <w:r w:rsidR="00AE1B92">
        <w:rPr>
          <w:rFonts w:ascii="Minion Pro" w:hAnsi="Minion Pro"/>
        </w:rPr>
        <w:instrText>ADDIN CSL_CITATION {"citationItems":[{"id":"ITEM-1","itemData":{"DOI":"10.22146/ijg.23680","ISSN":"00249521","abstract":"Indonesia has developed its forest reference emission level (FREL), using a historical reference period of 1990¬ 2012. Based on official Ministry of Environment and Forestry (MoEF) data, this paper analyses gross deforestation rates and emissions from deforestation in the five provinces of the island of Kalimantan which occurred in the time after 2012, i.e. 2013 until 2015, and puts them in relation to the average annual deforestation and emission rates of each province in the reference period. Even though the overall linear trend of deforestation and emission rates in Kalimantan from 1990 until 2015 goes down, this trend is not reflected in all of the five provinces equally. West and North Kalimantan's rates even seem to be on the rise. The potentials to achieve emission reduction targets thus remain unequal for each province in Kalimantan Island.","author":[{"dropping-particle":"","family":"Wegscheider","given":"Stephanie","non-dropping-particle":"","parse-names":false,"suffix":""},{"dropping-particle":"","family":"Purwanto","given":"Judin","non-dropping-particle":"","parse-names":false,"suffix":""},{"dropping-particle":"","family":"Margono","given":"Belinda A.","non-dropping-particle":"","parse-names":false,"suffix":""},{"dropping-particle":"","family":"Nugroho","given":"Sigit","non-dropping-particle":"","parse-names":false,"suffix":""},{"dropping-particle":"","family":"Budiharto","given":"","non-dropping-particle":"","parse-names":false,"suffix":""},{"dropping-particle":"","family":"Buchholz","given":"Georg","non-dropping-particle":"","parse-names":false,"suffix":""},{"dropping-particle":"","family":"Sugardiman","given":"Ruandha A.","non-dropping-particle":"","parse-names":false,"suffix":""}],"container-title":"Indonesian Journal of Geography","id":"ITEM-1","issue":"2","issued":{"date-parts":[["2019"]]},"page":"109-120","title":"Current achievements to reduce deforestation in Kalimantan","type":"article-journal","volume":"50"},"uris":["http://www.mendeley.com/documents/?uuid=c3271626-2169-4676-ab1f-8027a11eee85"]}],"mendeley":{"formattedCitation":"(Wegscheider et al., 2019)","plainTextFormattedCitation":"(Wegscheider et al., 2019)","previouslyFormattedCitation":"(Wegscheider et al., 2019)"},"properties":{"noteIndex":0},"schema":"https://github.com/citation-style-language/schema/raw/master/csl-citation.json"}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(Wegscheider et al., 2019)</w:t>
      </w:r>
      <w:r w:rsidRPr="00C203E1">
        <w:rPr>
          <w:rFonts w:ascii="Minion Pro" w:hAnsi="Minion Pro"/>
        </w:rPr>
        <w:fldChar w:fldCharType="end"/>
      </w:r>
      <w:r w:rsidRPr="00C203E1">
        <w:rPr>
          <w:rFonts w:ascii="Minion Pro" w:hAnsi="Minion Pro"/>
        </w:rPr>
        <w:t xml:space="preserve">. Thus, mitigation program in Central Kalimantan should focused on decreasing degradation and conserving forest carbon stock. Such kind of program will significantly mitigate the production of GHGs. </w:t>
      </w:r>
    </w:p>
    <w:p w14:paraId="066EA910" w14:textId="1C00C5FB" w:rsidR="009F557E" w:rsidRDefault="00C203E1" w:rsidP="009F557E">
      <w:pPr>
        <w:pStyle w:val="MDPI31text"/>
        <w:spacing w:line="360" w:lineRule="auto"/>
        <w:ind w:left="0" w:firstLine="720"/>
        <w:rPr>
          <w:rFonts w:ascii="Minion Pro" w:hAnsi="Minion Pro"/>
        </w:rPr>
      </w:pPr>
      <w:r w:rsidRPr="00C203E1">
        <w:rPr>
          <w:rFonts w:ascii="Minion Pro" w:hAnsi="Minion Pro"/>
        </w:rPr>
        <w:t>Government of Indonesia (</w:t>
      </w:r>
      <w:proofErr w:type="spellStart"/>
      <w:r w:rsidRPr="00C203E1">
        <w:rPr>
          <w:rFonts w:ascii="Minion Pro" w:hAnsi="Minion Pro"/>
        </w:rPr>
        <w:t>GoI</w:t>
      </w:r>
      <w:proofErr w:type="spellEnd"/>
      <w:r w:rsidRPr="00C203E1">
        <w:rPr>
          <w:rFonts w:ascii="Minion Pro" w:hAnsi="Minion Pro"/>
        </w:rPr>
        <w:t xml:space="preserve">) develops some programs and initiative as a mean to tackle climate change. The commitment of </w:t>
      </w:r>
      <w:proofErr w:type="spellStart"/>
      <w:r w:rsidRPr="00C203E1">
        <w:rPr>
          <w:rFonts w:ascii="Minion Pro" w:hAnsi="Minion Pro"/>
        </w:rPr>
        <w:t>GoI</w:t>
      </w:r>
      <w:proofErr w:type="spellEnd"/>
      <w:r w:rsidRPr="00C203E1">
        <w:rPr>
          <w:rFonts w:ascii="Minion Pro" w:hAnsi="Minion Pro"/>
        </w:rPr>
        <w:t xml:space="preserve"> in mitigating climate change is reflected in the National Determined Contribution (NDC). Indonesia has strong commitment to reduce GHGs emission by 29% unconditionally and 41% with support from international funding. Some programs include Reduction Emission from Deforestation and Forest Degradation plus (REDD+), low carbon development program, peat restoration program and revegetation </w:t>
      </w:r>
      <w:r w:rsidRPr="00C203E1">
        <w:rPr>
          <w:rFonts w:ascii="Minion Pro" w:hAnsi="Minion Pro"/>
        </w:rPr>
        <w:fldChar w:fldCharType="begin" w:fldLock="1"/>
      </w:r>
      <w:r w:rsidR="00147C11">
        <w:rPr>
          <w:rFonts w:ascii="Minion Pro" w:hAnsi="Minion Pro"/>
        </w:rPr>
        <w:instrText>ADDIN CSL_CITATION {"citationItems":[{"id":"ITEM-1","itemData":{"DOI":"10.3390/f13030447","ISSN":"19994907","abstract":"Reforestation in the tropics is highlighted as an important intervention to mitigate climate change globally because of its potential for high CO2 removal rates, ranging from 4.5 to 40.7 t CO2e ha−1 yr−1 during the first 20 years of tree growth. Reforestation is critical to meeting emissions’ targets of the Paris Climate Agreement, as well as achieving Indonesia’s Nationally Determined Contribution (NDC) targets. Increasing carbon stocks through forest and land rehabilitation activities (RHL) is one of the Ministry of Environment and Forestry (MoEF) five main strategies for reducing greenhouse gas (GHG) emissions from the land sector. This study focuses on reforestation opportunities to support Indonesia’s NDC in reducing GHG emissions by 2030. We identified unproductive areas of land (shrub, open land) with highly degraded conditions as potential areas for reforestation. Based on Indonesian data of land cover change, we found that reforestation activities during 2019– 2030 (11 years) under a realistic, ambitious and very ambitious scenario may remove carbon up to −0.25 GtCO2e (equal to −23 MtCO2e yr−1), −1.3 GtCO2e (equal to −124 MtCO2e yr−1) and −2.7 GtCO2e (equal to −247 MtCO2e yr−1), respectively. Based on international data of land cover change (Hansen et al. 2013), reforestation activities during 2019–2030, under a realistic, ambitious, and very ambitious scenario, have the opportunities to remove −17 MtCO2e yr−1, −118 MtCO2e yr−1, and −241 MtCO2e yr−1, respectively. This study demonstrates that ambitious and very ambitious scenarios of reforestation activities can significantly contribute to Indonesia’s forestry‐related NDC in 2030 by reducing the Indonesia Business As Usual (BAU) emissions up to 17% and 35%.","author":[{"dropping-particle":"","family":"Basuki","given":"Imam","non-dropping-particle":"","parse-names":false,"suffix":""},{"dropping-particle":"","family":"Adinugroho","given":"Wahyu Catur","non-dropping-particle":"","parse-names":false,"suffix":""},{"dropping-particle":"","family":"Utomo","given":"Nugroho Adi","non-dropping-particle":"","parse-names":false,"suffix":""},{"dropping-particle":"","family":"Syaugi","given":"Ahmad","non-dropping-particle":"","parse-names":false,"suffix":""},{"dropping-particle":"","family":"Tryanto","given":"Dede Hendry","non-dropping-particle":"","parse-names":false,"suffix":""},{"dropping-particle":"","family":"Krisnawati","given":"Haruni","non-dropping-particle":"","parse-names":false,"suffix":""},{"dropping-particle":"","family":"Cook‐patton","given":"Susan C.","non-dropping-particle":"","parse-names":false,"suffix":""},{"dropping-particle":"","family":"Novita","given":"Nisa","non-dropping-particle":"","parse-names":false,"suffix":""}],"container-title":"Forests","id":"ITEM-1","issue":"3","issued":{"date-parts":[["2022"]]},"title":"Reforestation Opportunities in Indonesia: Mitigating Climate Change and Achieving Sustainable Development Goals","type":"article-journal","volume":"13"},"uris":["http://www.mendeley.com/documents/?uuid=9987bfee-5594-3e0b-a5ae-b3deb4c3439a"]},{"id":"ITEM-2","itemData":{"DOI":"10.1016/j.envsci.2022.01.022","ISSN":"18736416","abstract":"Climate change has impacted development progress and increased global inequality. Therefore, all emitters, both developed and developing countries, must implement climate change mitigation and adaptation actions. Indonesia is one of the developing countries that signed the Paris Agreement. In its NDC document, Indonesia has pledged to reduce greenhouse gases emission by 29% using domestic resources (unconditional) and 41% with international support (conditional) from the business as usual (BAU) scenario by 2030. This commitment gives Indonesia the right to take advantage of various types of support, including ICF opportunities offered by the ADB through the non-UNFCCC financial scheme and the Global Green Growth Institute through the UNFCCC financial mechanism. This paper explores to what extent ICF supports the achievement of Indonesia's Nationally Determined Contribution (NDC) target. The study uses qualitative analysis to provide a general overview of ICF in Indonesia, its climate finance strategies, and the case study of the energy sector. The study finds that ICF in Indonesia continues to develop, albeit with many limitations. Several ICF channels could be utilized more optimally such as, loan and grant instruments. Indonesia cannot rely solely on international support to meet its enormous climate finance needs; it must develop innovative financing through various instruments, such as green sukuk. ICF also plays a role in facilitating the energy transition from coal-based to renewable energy sources and increasing energy efficiency.","author":[{"dropping-particle":"","family":"Suroso","given":"Djoko Santoso Abi","non-dropping-particle":"","parse-names":false,"suffix":""},{"dropping-particle":"","family":"Setiawan","given":"Budhi","non-dropping-particle":"","parse-names":false,"suffix":""},{"dropping-particle":"","family":"Pradono","given":"P.","non-dropping-particle":"","parse-names":false,"suffix":""},{"dropping-particle":"","family":"Iskandar","given":"Zahara Sitta","non-dropping-particle":"","parse-names":false,"suffix":""},{"dropping-particle":"","family":"Hastari","given":"Mulia Asri","non-dropping-particle":"","parse-names":false,"suffix":""}],"container-title":"Environmental Science and Policy","id":"ITEM-2","issued":{"date-parts":[["2022"]]},"title":"Revisiting the role of international climate finance (ICF) towards achieving the nationally determined contribution (NDC) target: A case study of the Indonesian energy sector","type":"article-journal","volume":"131"},"uris":["http://www.mendeley.com/documents/?uuid=150560d4-1331-3a87-8407-b213257d7841"]}],"mendeley":{"formattedCitation":"(Basuki et al., 2022; Suroso et al., 2022)","plainTextFormattedCitation":"(Basuki et al., 2022; Suroso et al., 2022)","previouslyFormattedCitation":"(Basuki et al., 2022; Suroso, Setiawan, Pradono, Iskandar, &amp; Hastari, 2022)"},"properties":{"noteIndex":0},"schema":"https://github.com/citation-style-language/schema/raw/master/csl-citation.json"}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(Basuki et al., 2022; Suroso et al., 2022)</w:t>
      </w:r>
      <w:r w:rsidRPr="00C203E1">
        <w:rPr>
          <w:rFonts w:ascii="Minion Pro" w:hAnsi="Minion Pro"/>
        </w:rPr>
        <w:fldChar w:fldCharType="end"/>
      </w:r>
      <w:r w:rsidRPr="00C203E1">
        <w:rPr>
          <w:rFonts w:ascii="Minion Pro" w:hAnsi="Minion Pro"/>
        </w:rPr>
        <w:t xml:space="preserve">. The program is run by various sectors encompassing government institutions, NGOs, private sector, universities, and local communities. </w:t>
      </w:r>
    </w:p>
    <w:p w14:paraId="076F8A0D" w14:textId="149EAA3C" w:rsidR="009F557E" w:rsidRDefault="00C203E1" w:rsidP="009F557E">
      <w:pPr>
        <w:pStyle w:val="MDPI31text"/>
        <w:spacing w:line="360" w:lineRule="auto"/>
        <w:ind w:left="0" w:firstLine="720"/>
        <w:rPr>
          <w:rFonts w:ascii="Minion Pro" w:hAnsi="Minion Pro"/>
        </w:rPr>
      </w:pPr>
      <w:r w:rsidRPr="00C203E1">
        <w:rPr>
          <w:rFonts w:ascii="Minion Pro" w:hAnsi="Minion Pro"/>
        </w:rPr>
        <w:t xml:space="preserve">The management of areas, especially forests, has an influence on the occurrence of disasters in Central Kalimantan. Most of the disasters in Central Kalimantan were caused by anthropogenic activities such as the conversion of forest areas and damage to river basins. Natural disasters that often occur in Central Kalimantan in 2020 are floods and forest and land fires, while the types of natural disasters that rarely occur are landslides, tornadoes, and high tides. Floods most frequently occur in </w:t>
      </w:r>
      <w:proofErr w:type="spellStart"/>
      <w:r w:rsidRPr="00C203E1">
        <w:rPr>
          <w:rFonts w:ascii="Minion Pro" w:hAnsi="Minion Pro"/>
        </w:rPr>
        <w:t>Kotawaringin</w:t>
      </w:r>
      <w:proofErr w:type="spellEnd"/>
      <w:r w:rsidRPr="00C203E1">
        <w:rPr>
          <w:rFonts w:ascii="Minion Pro" w:hAnsi="Minion Pro"/>
        </w:rPr>
        <w:t xml:space="preserve"> Barat and </w:t>
      </w:r>
      <w:proofErr w:type="spellStart"/>
      <w:r w:rsidRPr="00C203E1">
        <w:rPr>
          <w:rFonts w:ascii="Minion Pro" w:hAnsi="Minion Pro"/>
        </w:rPr>
        <w:t>Seruyan</w:t>
      </w:r>
      <w:proofErr w:type="spellEnd"/>
      <w:r w:rsidRPr="00C203E1">
        <w:rPr>
          <w:rFonts w:ascii="Minion Pro" w:hAnsi="Minion Pro"/>
        </w:rPr>
        <w:t xml:space="preserve"> Districts, while forest fires in 2020 are relatively rare. The number of residents affected by floods in 2021 was recorded at 370,004 people spread across 725 villages/wards throughout Central Kalimantan. Forest and land fires have been </w:t>
      </w:r>
      <w:r w:rsidRPr="00C203E1">
        <w:rPr>
          <w:rFonts w:ascii="Minion Pro" w:hAnsi="Minion Pro"/>
        </w:rPr>
        <w:lastRenderedPageBreak/>
        <w:t xml:space="preserve">relatively rare since 2020, one of the reasons being the high rainfall throughout the year and the short dry season </w:t>
      </w:r>
      <w:r w:rsidRPr="00C203E1">
        <w:rPr>
          <w:rFonts w:ascii="Minion Pro" w:hAnsi="Minion Pro"/>
        </w:rPr>
        <w:fldChar w:fldCharType="begin" w:fldLock="1"/>
      </w:r>
      <w:r w:rsidR="00147C11">
        <w:rPr>
          <w:rFonts w:ascii="Minion Pro" w:hAnsi="Minion Pro"/>
        </w:rPr>
        <w:instrText>ADDIN CSL_CITATION {"citationItems":[{"id":"ITEM-1","itemData":{"DOI":"10.34123/jurnalasks.v13i2.349","ISSN":"2086-4132","abstract":"Indonesia is one of the most natural disaster-prone countries in the world, frequently exposed to a range of hazards. Currently, Indonesia has 34 provinces and natural disasters that occur in each province are different, therefore it is necessary to analyze the mapping of natural disasters that often occur in each province to provide scientific analysis for risk management of the natural disasters. One of the quick steps in describing data that can be used is biplot analysis, as biplot analysis can describe a lot of data then summarized it into the form of a two-dimensional graph. The aim of this research is to map 34 provinces in Indonesia based on the incidence of natural disasters from 2019 to 2021 using robust biplot analysis. Based on the result, robust biplot analysis can explain 87,9% of the information on natural disasters in every province in Indonesia. Lampung, Bengkulu, Bangka Belitung, Special Region of Yogyakarta, North Sulawesi, West Sulawesi, Southeast Sulawesi, Gorontalo, East Nusa Tenggara, Bali, Maluku, West Maluku, Papua, and West Papua are provinces that have similar natural disaster characteristics. Flood, tornado and forest and land fires are natural disasters that often occur in Indonesia. The provinces that have the highest risk of flood, landslide, and tornado were West Java, Central Java, and East Java. Then, the provinces with the highest risk of forest and land fires were Aceh and South Kalimantan.","author":[{"dropping-particle":"","family":"Venelia","given":"Hilda","non-dropping-particle":"","parse-names":false,"suffix":""},{"dropping-particle":"","family":"Nisa","given":"Khoirin","non-dropping-particle":"","parse-names":false,"suffix":""},{"dropping-particle":"","family":"Wibowo","given":"Rizki Agung","non-dropping-particle":"","parse-names":false,"suffix":""},{"dropping-particle":"","family":"Muda","given":"Mona Arif","non-dropping-particle":"","parse-names":false,"suffix":""}],"container-title":"Jurnal Aplikasi Statistika &amp; Komputasi Statistik","id":"ITEM-1","issue":"2","issued":{"date-parts":[["2021"]]},"title":"Robust Biplot Analysis of Natural Disasters in Indonesia from 2019 To 2021","type":"article-journal","volume":"13"},"uris":["http://www.mendeley.com/documents/?uuid=c7f0417f-8cf0-3113-abd3-5242df273811"]},{"id":"ITEM-2","itemData":{"DOI":"10.1088/1755-1315/1111/1/012006","ISSN":"17551315","abstract":"Peatland forest fires cause high concentrations of gases and particles in the air, especially carbon monoxide (CO) and PM2.5 which are very dangerous for health. Continuous monitoring of gas and particulate concentrations must be carried out during dry and rainy seasons so that the impact of hazards can be immediately identified and actions can be taken to overcome them. Monitoring equipment was placed from south to north at fire-prone locations to see the effect of wind and vegetation on the CO and PM2,5 concentrations. The concentration of Carbon Monoxide (CO) and Particulate Matter (PM2.5) at Central Kalimantan in the dry season is higher than in the rainy season. In the dry season of 2019, CO concentration in four locations was between 7104.1 - 22,127.5 μg/m3, while in 2021, it was the rainy season, so the CO concentration in six locations was lower, ranging from 38.7 - 1371.5 μg/m3. In the dry season of 2019, PM2,5 concentration in four locations was 196.8 - 360.5 μg/m3, while in 2021, at six locations was 5.0 - 40.0 μg/m3. The high concentration of CO and PM2.5 in the dry season needs to be anticipated with a serious handling program to prevent forest and peat fires","author":[{"dropping-particle":"","family":"Kusin","given":"Kitso","non-dropping-particle":"","parse-names":false,"suffix":""},{"dropping-particle":"","family":"Sulistiyanto","given":"Yustinus","non-dropping-particle":"","parse-names":false,"suffix":""},{"dropping-particle":"","family":"Usup","given":"Aswin","non-dropping-particle":"","parse-names":false,"suffix":""},{"dropping-particle":"","family":"Ardianor","given":"","non-dropping-particle":"","parse-names":false,"suffix":""}],"container-title":"IOP Conference Series: Earth and Environmental Science","id":"ITEM-2","issue":"1","issued":{"date-parts":[["2022"]]},"title":"Carbon Monoxide (CO) and Particulate Matter (PM2.5) Concentration at Central Kalimantan, Indonesia","type":"paper-conference","volume":"1111"},"uris":["http://www.mendeley.com/documents/?uuid=6fc6b885-d7b9-30e0-9866-14819a1882a0"]},{"id":"ITEM-3","itemData":{"abstract":"Publikasi “Kalimantan Tengah Dalam Angka 2015” merupakan kelanjutan dari publikasi tahun sebelumnya yang diterbitkan secara berkala oleh Badan Pusat Statistik (BPS) Propinsi Kalimantan Tengah. Publikasi ini merupakan upaya dalam mengembangkan perstatistikan daerah untuk menyediakan data yang terpadu bagi berbagai keperluan didaerah ini. Dalam penyusunan publikasi ini, data yang dihimpun selain bersumber dari data primer juga dari data sekunder, baik instansi pemerintah maupun swasta. Seperti halnya pada publikasi terdahulu, dilakukan penyempurnaan, penambahan dan penyederhanaan tabel-tabel sesuai dengan kebutuhan pengguna data.","author":[{"dropping-particle":"","family":"SI","given":"","non-dropping-particle":"","parse-names":false,"suffix":""}],"container-title":"Statistics Indonesia","id":"ITEM-3","issued":{"date-parts":[["2015"]]},"title":"Central Kalimantan In Figures 2015","type":"article-journal"},"uris":["http://www.mendeley.com/documents/?uuid=dfd89e91-41a1-344b-b56e-0561b1049459"]},{"id":"ITEM-4","itemData":{"abstract":"See notes. Social economic data, very little environmental, only climate (rainfall temp etc) for 3 cities.","author":[{"dropping-particle":"","family":"BPS Kalteng","given":"","non-dropping-particle":"","parse-names":false,"suffix":""}],"container-title":"Provinsi Kalimantan Tengah Dalam Angka","id":"ITEM-4","issued":{"date-parts":[["2022"]]},"title":"Provinsi Kalimantan Tengah Dalam Angka","type":"article-journal"},"uris":["http://www.mendeley.com/documents/?uuid=d0643688-07fd-372d-bb67-19a1c308ede6"]}],"mendeley":{"formattedCitation":"(BPS Kalteng, 2022; Kusin et al., 2022; SI, 2015; Venelia et al., 2021)","plainTextFormattedCitation":"(BPS Kalteng, 2022; Kusin et al., 2022; SI, 2015; Venelia et al., 2021)","previouslyFormattedCitation":"(BPS Kalteng, 2022; Kusin, Sulistiyanto, Usup, &amp; Ardianor, 2022; SI, 2015; Venelia, Nisa, Wibowo, &amp; Muda, 2021)"},"properties":{"noteIndex":0},"schema":"https://github.com/citation-style-language/schema/raw/master/csl-citation.json"}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(BPS Kalteng, 2022; Kusin et al., 2022; SI, 2015; Venelia et al., 2021)</w:t>
      </w:r>
      <w:r w:rsidRPr="00C203E1">
        <w:rPr>
          <w:rFonts w:ascii="Minion Pro" w:hAnsi="Minion Pro"/>
        </w:rPr>
        <w:fldChar w:fldCharType="end"/>
      </w:r>
      <w:r w:rsidRPr="00C203E1">
        <w:rPr>
          <w:rFonts w:ascii="Minion Pro" w:hAnsi="Minion Pro"/>
        </w:rPr>
        <w:t xml:space="preserve">. </w:t>
      </w:r>
    </w:p>
    <w:p w14:paraId="44920598" w14:textId="77777777" w:rsidR="009F557E" w:rsidRDefault="00C203E1" w:rsidP="009F557E">
      <w:pPr>
        <w:pStyle w:val="MDPI31text"/>
        <w:spacing w:line="360" w:lineRule="auto"/>
        <w:ind w:left="0" w:firstLine="720"/>
        <w:rPr>
          <w:rFonts w:ascii="Minion Pro" w:hAnsi="Minion Pro"/>
        </w:rPr>
      </w:pPr>
      <w:r w:rsidRPr="00C203E1">
        <w:rPr>
          <w:rFonts w:ascii="Minion Pro" w:hAnsi="Minion Pro"/>
        </w:rPr>
        <w:t xml:space="preserve">Central Kalimantan Province, through various schemes has attempted to contribute to the achievement of emission reduction target or NDC. With a significant forested area, Central Kalimantan has great opportunities in mitigating climate change in Indonesia. However, there is much that needs to be done, including preparing an emission reduction strategy, institutional strengthening, and the preparation of Forest Reference Level (FRL) using the latest methods according to guidance developed by the Ministry of Environment and Forestry </w:t>
      </w:r>
      <w:r w:rsidRPr="00C203E1">
        <w:rPr>
          <w:rFonts w:ascii="Minion Pro" w:hAnsi="Minion Pro"/>
        </w:rPr>
        <w:fldChar w:fldCharType="begin" w:fldLock="1"/>
      </w:r>
      <w:r w:rsidR="00AE1B92">
        <w:rPr>
          <w:rFonts w:ascii="Minion Pro" w:hAnsi="Minion Pro"/>
        </w:rPr>
        <w:instrText>ADDIN CSL_CITATION {"citationItems":[{"id":"ITEM-1","itemData":{"DOI":"10.22146/ijg.23680","ISSN":"00249521","abstract":"Indonesia has developed its forest reference emission level (FREL), using a historical reference period of 1990¬ 2012. Based on official Ministry of Environment and Forestry (MoEF) data, this paper analyses gross deforestation rates and emissions from deforestation in the five provinces of the island of Kalimantan which occurred in the time after 2012, i.e. 2013 until 2015, and puts them in relation to the average annual deforestation and emission rates of each province in the reference period. Even though the overall linear trend of deforestation and emission rates in Kalimantan from 1990 until 2015 goes down, this trend is not reflected in all of the five provinces equally. West and North Kalimantan's rates even seem to be on the rise. The potentials to achieve emission reduction targets thus remain unequal for each province in Kalimantan Island.","author":[{"dropping-particle":"","family":"Wegscheider","given":"Stephanie","non-dropping-particle":"","parse-names":false,"suffix":""},{"dropping-particle":"","family":"Purwanto","given":"Judin","non-dropping-particle":"","parse-names":false,"suffix":""},{"dropping-particle":"","family":"Margono","given":"Belinda A.","non-dropping-particle":"","parse-names":false,"suffix":""},{"dropping-particle":"","family":"Nugroho","given":"Sigit","non-dropping-particle":"","parse-names":false,"suffix":""},{"dropping-particle":"","family":"Budiharto","given":"","non-dropping-particle":"","parse-names":false,"suffix":""},{"dropping-particle":"","family":"Buchholz","given":"Georg","non-dropping-particle":"","parse-names":false,"suffix":""},{"dropping-particle":"","family":"Sugardiman","given":"Ruandha A.","non-dropping-particle":"","parse-names":false,"suffix":""}],"container-title":"Indonesian Journal of Geography","id":"ITEM-1","issue":"2","issued":{"date-parts":[["2019"]]},"page":"109-120","title":"Current achievements to reduce deforestation in Kalimantan","type":"article-journal","volume":"50"},"uris":["http://www.mendeley.com/documents/?uuid=c3271626-2169-4676-ab1f-8027a11eee85"]},{"id":"ITEM-2","itemData":{"DOI":"10.1016/j.envsci.2022.01.022","ISSN":"18736416","abstract":"Climate change has impacted development progress and increased global inequality. Therefore, all emitters, both developed and developing countries, must implement climate change mitigation and adaptation actions. Indonesia is one of the developing countries that signed the Paris Agreement. In its NDC document, Indonesia has pledged to reduce greenhouse gases emission by 29% using domestic resources (unconditional) and 41% with international support (conditional) from the business as usual (BAU) scenario by 2030. This commitment gives Indonesia the right to take advantage of various types of support, including ICF opportunities offered by the ADB through the non-UNFCCC financial scheme and the Global Green Growth Institute through the UNFCCC financial mechanism. This paper explores to what extent ICF supports the achievement of Indonesia's Nationally Determined Contribution (NDC) target. The study uses qualitative analysis to provide a general overview of ICF in Indonesia, its climate finance strategies, and the case study of the energy sector. The study finds that ICF in Indonesia continues to develop, albeit with many limitations. Several ICF channels could be utilized more optimally such as, loan and grant instruments. Indonesia cannot rely solely on international support to meet its enormous climate finance needs; it must develop innovative financing through various instruments, such as green sukuk. ICF also plays a role in facilitating the energy transition from coal-based to renewable energy sources and increasing energy efficiency.","author":[{"dropping-particle":"","family":"Suroso","given":"Djoko Santoso Abi","non-dropping-particle":"","parse-names":false,"suffix":""},{"dropping-particle":"","family":"Setiawan","given":"Budhi","non-dropping-particle":"","parse-names":false,"suffix":""},{"dropping-particle":"","family":"Pradono","given":"P.","non-dropping-particle":"","parse-names":false,"suffix":""},{"dropping-particle":"","family":"Iskandar","given":"Zahara Sitta","non-dropping-particle":"","parse-names":false,"suffix":""},{"dropping-particle":"","family":"Hastari","given":"Mulia Asri","non-dropping-particle":"","parse-names":false,"suffix":""}],"container-title":"Environmental Science and Policy","id":"ITEM-2","issued":{"date-parts":[["2022"]]},"title":"Revisiting the role of international climate finance (ICF) towards achieving the nationally determined contribution (NDC) target: A case study of the Indonesian energy sector","type":"article-journal","volume":"131"},"uris":["http://www.mendeley.com/documents/?uuid=150560d4-1331-3a87-8407-b213257d7841"]}],"mendeley":{"formattedCitation":"(Suroso et al., 2022; Wegscheider et al., 2019)","plainTextFormattedCitation":"(Suroso et al., 2022; Wegscheider et al., 2019)","previouslyFormattedCitation":"(Suroso et al., 2022; Wegscheider et al., 2019)"},"properties":{"noteIndex":0},"schema":"https://github.com/citation-style-language/schema/raw/master/csl-citation.json"}</w:instrText>
      </w:r>
      <w:r w:rsidRPr="00C203E1">
        <w:rPr>
          <w:rFonts w:ascii="Minion Pro" w:hAnsi="Minion Pro"/>
        </w:rPr>
        <w:fldChar w:fldCharType="separate"/>
      </w:r>
      <w:r w:rsidR="00AE1B92" w:rsidRPr="00AE1B92">
        <w:rPr>
          <w:rFonts w:ascii="Minion Pro" w:hAnsi="Minion Pro"/>
          <w:noProof/>
        </w:rPr>
        <w:t>(Suroso et al., 2022; Wegscheider et al., 2019)</w:t>
      </w:r>
      <w:r w:rsidRPr="00C203E1">
        <w:rPr>
          <w:rFonts w:ascii="Minion Pro" w:hAnsi="Minion Pro"/>
        </w:rPr>
        <w:fldChar w:fldCharType="end"/>
      </w:r>
      <w:r w:rsidRPr="00C203E1">
        <w:rPr>
          <w:rFonts w:ascii="Minion Pro" w:hAnsi="Minion Pro"/>
        </w:rPr>
        <w:t>.</w:t>
      </w:r>
    </w:p>
    <w:p w14:paraId="442E3E23" w14:textId="1C59AB0D" w:rsidR="00FD6178" w:rsidRPr="009F557E" w:rsidRDefault="00C203E1" w:rsidP="009F557E">
      <w:pPr>
        <w:pStyle w:val="MDPI31text"/>
        <w:spacing w:line="360" w:lineRule="auto"/>
        <w:ind w:left="0" w:firstLine="720"/>
        <w:rPr>
          <w:rFonts w:ascii="Minion Pro" w:hAnsi="Minion Pro"/>
        </w:rPr>
      </w:pPr>
      <w:r w:rsidRPr="00C203E1">
        <w:rPr>
          <w:rFonts w:ascii="Minion Pro" w:hAnsi="Minion Pro"/>
        </w:rPr>
        <w:t xml:space="preserve">Identify and characterize the cause of GHGs emission is crucial in determining the mitigations strategy. For instance, deforestation as the main cause of GHGs emission in Central Kalimantan need to be identify, measure and classified </w:t>
      </w:r>
      <w:proofErr w:type="gramStart"/>
      <w:r w:rsidRPr="00C203E1">
        <w:rPr>
          <w:rFonts w:ascii="Minion Pro" w:hAnsi="Minion Pro"/>
        </w:rPr>
        <w:t>in order to</w:t>
      </w:r>
      <w:proofErr w:type="gramEnd"/>
      <w:r w:rsidRPr="00C203E1">
        <w:rPr>
          <w:rFonts w:ascii="Minion Pro" w:hAnsi="Minion Pro"/>
        </w:rPr>
        <w:t xml:space="preserve"> find the best strategy to slow down the deforestation and rehabilitate degraded forest. Another benefit by characterized deforestation is the support of land-based data to measure the target of mitigation programs </w:t>
      </w:r>
      <w:r w:rsidRPr="00C203E1">
        <w:rPr>
          <w:rFonts w:ascii="Minion Pro" w:hAnsi="Minion Pro"/>
        </w:rPr>
        <w:fldChar w:fldCharType="begin" w:fldLock="1"/>
      </w:r>
      <w:r w:rsidR="00147C11">
        <w:rPr>
          <w:rFonts w:ascii="Minion Pro" w:hAnsi="Minion Pro"/>
        </w:rPr>
        <w:instrText>ADDIN CSL_CITATION {"citationItems":[{"id":"ITEM-1","itemData":{"DOI":"10.1038/s41467-020-20570-w","ISSN":"20411723","abstract":"Attribution studies have identified a robust anthropogenic fingerprint in increased 21st century wildfire risk. However, the risks associated with individual aspects of anthropogenic aerosol and greenhouse gases (GHG) emissions, biomass burning and land use/land cover change remain unknown. Here, we use new climate model large ensembles isolating these influences to show that GHG-driven increases in extreme fire weather conditions have been balanced by aerosol-driven cooling throughout the 20th century. This compensation is projected to disappear due to future reductions in aerosol emissions, causing unprecedented increases in extreme fire weather risk in the 21st century as GHGs continue to rise. Changes to temperature and relative humidity drive the largest shifts in extreme fire weather conditions; this is particularly apparent over the Amazon, where GHGs cause a seven-fold increase by 2080. Our results allow increased understanding of the interacting roles of anthropogenic stressors in altering the regional expression of future wildfire risk.","author":[{"dropping-particle":"","family":"Touma","given":"Danielle","non-dropping-particle":"","parse-names":false,"suffix":""},{"dropping-particle":"","family":"Stevenson","given":"Samantha","non-dropping-particle":"","parse-names":false,"suffix":""},{"dropping-particle":"","family":"Lehner","given":"Flavio","non-dropping-particle":"","parse-names":false,"suffix":""},{"dropping-particle":"","family":"Coats","given":"Sloan","non-dropping-particle":"","parse-names":false,"suffix":""}],"container-title":"Nature Communications","id":"ITEM-1","issue":"1","issued":{"date-parts":[["2021"]]},"title":"Human-driven greenhouse gas and aerosol emissions cause distinct regional impacts on extreme fire weather","type":"article-journal","volume":"12"},"uris":["http://www.mendeley.com/documents/?uuid=02b478ee-7aa7-37b3-b66a-7ccd7275895d"]},{"id":"ITEM-2","itemData":{"DOI":"10.3390/ijerph19148678","ISSN":"16604601","abstract":"Global environmental issues such as environmental degradation, climate change, and global warming have posed a threat to the global economy, including Pakistan. The primary source of these problems is greenhouse gas emissions. These emissions are the result of human activity. The objective of the study was to investigate the symmetric and asymmetric relationship between globalization and greenhouse gas emissions in Pakistan. The ARDL modern econometric techniques of the time series model were used. Firstly, the stationarity test favors the use of the ARDL model in this study. The BDS test result confirmed that the ARDL model has a non-linearity issue. As a result, the ARDL approach was used to test both the symmetric and asymmetric effect. The results of the asymmetric ARDL model are more robust and reliable than those of the symmetric ARDL model. According to the results of the symmetric ARDL, economic, social, and political globalization have a positive relationship with greenhouse gas emissions in both the short and long run. Furthermore, the long-run results of the asymmetric ARDL model show that positive and negative shocks of economic and political globalization have positive and negative shock effects on greenhouse gas emissions. In the long run, however, the positive shock of social globalization has a negative relationship with greenhouse gas emissions. According to the results of impulse response functions, economic globalization has a significantly more relationship with greenhouse gas emissions than social and political globalization. A policy should be developed that allows only the positive effects of globalization while prohibiting the negative effects of globalization.","author":[{"dropping-particle":"","family":"Ullah","given":"Arif","non-dropping-particle":"","parse-names":false,"suffix":""},{"dropping-particle":"","family":"Raza","given":"Kashif","non-dropping-particle":"","parse-names":false,"suffix":""},{"dropping-particle":"","family":"Nadeem","given":"Muhammad","non-dropping-particle":"","parse-names":false,"suffix":""},{"dropping-particle":"","family":"Mehmood","given":"Usman","non-dropping-particle":"","parse-names":false,"suffix":""},{"dropping-particle":"","family":"Agyekum","given":"Ephraim Bonah","non-dropping-particle":"","parse-names":false,"suffix":""},{"dropping-particle":"","family":"Elnaggar","given":"Mohamed F.","non-dropping-particle":"","parse-names":false,"suffix":""},{"dropping-particle":"","family":"Agbozo","given":"Ebenezer","non-dropping-particle":"","parse-names":false,"suffix":""},{"dropping-particle":"","family":"Kamel","given":"Salah","non-dropping-particle":"","parse-names":false,"suffix":""}],"container-title":"International Journal of Environmental Research and Public Health","id":"ITEM-2","issue":"14","issued":{"date-parts":[["2022"]]},"title":"Does Globalization Cause Greenhouse Gas Emissions in Pakistan? A Promise to Enlighten the Value of Environmental Quality","type":"article-journal","volume":"19"},"uris":["http://www.mendeley.com/documents/?uuid=fe0abaca-bc3b-3efe-be2f-4aeba4933808"]},{"id":"ITEM-3","itemData":{"DOI":"10.1016/j.scitotenv.2019.01.197","ISSN":"18791026","abstract":"With the growing attention on global warming, understanding the main drivers of greenhouse gas (GHG) emissions is important. This paper investigated the contribution of intrinsic reasons for consumption-based GHG emissions growth using structural decomposition analysis based on world input-output database from 1995 to 2009. The drivers are decomposed into five sub-effects at both country-level and industry-level. The results are as follows: (1) The rapid global economic growth is the dominating driving force. However, a decreasing emission intensity caused by the improvement of energy efficiency and technology innovation can contribute significantly to emission reduction; (2) Key factors contributing to GHG emissions vary in different country groups. The investment effects in developing countries are overwhelming those in developed countries. Instead, the net export effects in developed countries are greater than them in developing countries, which means that developing countries are becoming pollution haven; (3) China and India are still the key contributors of CO 2 growth and CH 4 growth. In developing countries, the total effects of N 2 O emissions changes are positive, which is mainly because agriculture plays an important role in these countries; (4) Cluster analysis depicts the relationship between growth of GHG emissions and gross domestic outputs in different countries.","author":[{"dropping-particle":"","family":"Liu","given":"Dunnan","non-dropping-particle":"","parse-names":false,"suffix":""},{"dropping-particle":"","family":"Guo","given":"Xiaodan","non-dropping-particle":"","parse-names":false,"suffix":""},{"dropping-particle":"","family":"Xiao","given":"Bowen","non-dropping-particle":"","parse-names":false,"suffix":""}],"container-title":"Science of the Total Environment","id":"ITEM-3","issued":{"date-parts":[["2019"]]},"title":"What causes growth of global greenhouse gas emissions? Evidence from 40 countries","type":"article-journal","volume":"661"},"uris":["http://www.mendeley.com/documents/?uuid=b6a9a7bf-5ae0-3d40-8aa0-5b84474474ef"]}],"mendeley":{"formattedCitation":"(Liu et al., 2019; Touma et al., 2021; Ullah et al., 2022)","plainTextFormattedCitation":"(Liu et al., 2019; Touma et al., 2021; Ullah et al., 2022)","previouslyFormattedCitation":"(Liu, Guo, &amp; Xiao, 2019; Touma, Stevenson, Lehner, &amp; Coats, 2021; Ullah et al., 2022)"},"properties":{"noteIndex":0},"schema":"https://github.com/citation-style-language/schema/raw/master/csl-citation.json"}</w:instrText>
      </w:r>
      <w:r w:rsidRPr="00C203E1">
        <w:rPr>
          <w:rFonts w:ascii="Minion Pro" w:hAnsi="Minion Pro"/>
        </w:rPr>
        <w:fldChar w:fldCharType="separate"/>
      </w:r>
      <w:r w:rsidR="00147C11" w:rsidRPr="00147C11">
        <w:rPr>
          <w:rFonts w:ascii="Minion Pro" w:hAnsi="Minion Pro"/>
          <w:noProof/>
        </w:rPr>
        <w:t>(Liu et al., 2019; Touma et al., 2021; Ullah et al., 2022)</w:t>
      </w:r>
      <w:r w:rsidRPr="00C203E1">
        <w:rPr>
          <w:rFonts w:ascii="Minion Pro" w:hAnsi="Minion Pro"/>
        </w:rPr>
        <w:fldChar w:fldCharType="end"/>
      </w:r>
      <w:r w:rsidRPr="00C203E1">
        <w:rPr>
          <w:rFonts w:ascii="Minion Pro" w:hAnsi="Minion Pro"/>
        </w:rPr>
        <w:t>. By implementing these approaches, the probability of achieving the NDC target will increase. The study aims to characterize deforestation in Central Kalimantan by assessing the trend of deforestation, the location, and the cause of deforestation.</w:t>
      </w:r>
    </w:p>
    <w:p w14:paraId="3D12AB11" w14:textId="77777777" w:rsidR="00E52D0F" w:rsidRPr="00766F56" w:rsidRDefault="00E52D0F" w:rsidP="00766F56">
      <w:pPr>
        <w:spacing w:after="0" w:line="360" w:lineRule="auto"/>
        <w:jc w:val="both"/>
        <w:rPr>
          <w:rFonts w:ascii="Minion Pro" w:hAnsi="Minion Pro" w:cs="Times New Roman"/>
          <w:sz w:val="24"/>
          <w:szCs w:val="24"/>
        </w:rPr>
      </w:pPr>
    </w:p>
    <w:p w14:paraId="103989AA" w14:textId="77777777" w:rsidR="00E52D0F" w:rsidRDefault="005849EC" w:rsidP="00766F56">
      <w:pPr>
        <w:spacing w:after="0" w:line="360" w:lineRule="auto"/>
        <w:jc w:val="both"/>
        <w:rPr>
          <w:rFonts w:ascii="Minion Pro" w:hAnsi="Minion Pro" w:cs="Times New Roman"/>
          <w:b/>
          <w:bCs/>
          <w:color w:val="4472C4"/>
          <w:sz w:val="24"/>
          <w:szCs w:val="24"/>
        </w:rPr>
      </w:pPr>
      <w:r>
        <w:rPr>
          <w:rFonts w:ascii="Minion Pro" w:hAnsi="Minion Pro" w:cs="Times New Roman"/>
          <w:b/>
          <w:bCs/>
          <w:color w:val="4472C4"/>
          <w:sz w:val="24"/>
          <w:szCs w:val="24"/>
        </w:rPr>
        <w:t>2.</w:t>
      </w:r>
      <w:r w:rsidR="00E11B1F">
        <w:rPr>
          <w:rFonts w:ascii="Minion Pro" w:hAnsi="Minion Pro" w:cs="Times New Roman"/>
          <w:b/>
          <w:bCs/>
          <w:color w:val="4472C4"/>
          <w:sz w:val="24"/>
          <w:szCs w:val="24"/>
        </w:rPr>
        <w:t xml:space="preserve"> </w:t>
      </w:r>
      <w:r>
        <w:rPr>
          <w:rFonts w:ascii="Minion Pro" w:hAnsi="Minion Pro" w:cs="Times New Roman"/>
          <w:b/>
          <w:bCs/>
          <w:color w:val="4472C4"/>
          <w:sz w:val="24"/>
          <w:szCs w:val="24"/>
        </w:rPr>
        <w:t>Methods</w:t>
      </w:r>
    </w:p>
    <w:p w14:paraId="2C19211E" w14:textId="1E9919B8" w:rsidR="008B7539" w:rsidRDefault="008B7539" w:rsidP="00766F56">
      <w:pPr>
        <w:spacing w:after="0" w:line="360" w:lineRule="auto"/>
        <w:jc w:val="both"/>
        <w:rPr>
          <w:rFonts w:ascii="Minion Pro" w:hAnsi="Minion Pro" w:cs="Times New Roman"/>
          <w:color w:val="4472C4"/>
          <w:sz w:val="24"/>
          <w:szCs w:val="24"/>
        </w:rPr>
      </w:pPr>
      <w:r w:rsidRPr="008B7539">
        <w:rPr>
          <w:rFonts w:ascii="Minion Pro" w:hAnsi="Minion Pro" w:cs="Times New Roman"/>
          <w:color w:val="4472C4"/>
          <w:sz w:val="24"/>
          <w:szCs w:val="24"/>
        </w:rPr>
        <w:t>Research Setting</w:t>
      </w:r>
    </w:p>
    <w:p w14:paraId="2CD84F46" w14:textId="316F14B6" w:rsidR="00AE1B92" w:rsidRPr="00AE1B92" w:rsidRDefault="00AE1B92" w:rsidP="009F557E">
      <w:pPr>
        <w:pStyle w:val="MDPI31text"/>
        <w:spacing w:line="360" w:lineRule="auto"/>
        <w:ind w:left="0" w:firstLine="720"/>
        <w:rPr>
          <w:rFonts w:ascii="Minion Pro" w:hAnsi="Minion Pro"/>
        </w:rPr>
      </w:pPr>
      <w:r w:rsidRPr="00AE1B92">
        <w:rPr>
          <w:rFonts w:ascii="Minion Pro" w:hAnsi="Minion Pro"/>
        </w:rPr>
        <w:t xml:space="preserve">This research </w:t>
      </w:r>
      <w:proofErr w:type="gramStart"/>
      <w:r w:rsidRPr="00AE1B92">
        <w:rPr>
          <w:rFonts w:ascii="Minion Pro" w:hAnsi="Minion Pro"/>
        </w:rPr>
        <w:t>was located in</w:t>
      </w:r>
      <w:proofErr w:type="gramEnd"/>
      <w:r w:rsidRPr="00AE1B92">
        <w:rPr>
          <w:rFonts w:ascii="Minion Pro" w:hAnsi="Minion Pro"/>
        </w:rPr>
        <w:t xml:space="preserve"> Central Kalimantan as unit analysis. Based on Indonesian Internal Affair Ministry Degree Number 58 in 2021, Central Kalimantan cover an area of 153.413,06 km</w:t>
      </w:r>
      <w:r w:rsidRPr="00AE1B92">
        <w:rPr>
          <w:rFonts w:ascii="Minion Pro" w:hAnsi="Minion Pro"/>
          <w:vertAlign w:val="superscript"/>
        </w:rPr>
        <w:t>2</w:t>
      </w:r>
      <w:r w:rsidRPr="00AE1B92">
        <w:rPr>
          <w:rFonts w:ascii="Minion Pro" w:hAnsi="Minion Pro"/>
        </w:rPr>
        <w:t xml:space="preserve">, that divided into 13 Districts and 1 Municipal (shown in </w:t>
      </w:r>
      <w:r w:rsidRPr="00AE1B92">
        <w:rPr>
          <w:rFonts w:ascii="Minion Pro" w:hAnsi="Minion Pro"/>
          <w:b/>
          <w:bCs/>
        </w:rPr>
        <w:t>Figure 1</w:t>
      </w:r>
      <w:r w:rsidRPr="00AE1B92">
        <w:rPr>
          <w:rFonts w:ascii="Minion Pro" w:hAnsi="Minion Pro"/>
        </w:rPr>
        <w:t xml:space="preserve">). In 2021, the total residents of Central Kalimantan Province accounted for 2.70 million with the rate of resident increments 0.90% </w:t>
      </w:r>
      <w:r w:rsidRPr="00AE1B92">
        <w:rPr>
          <w:rFonts w:ascii="Minion Pro" w:hAnsi="Minion Pro"/>
        </w:rPr>
        <w:fldChar w:fldCharType="begin" w:fldLock="1"/>
      </w:r>
      <w:r w:rsidR="008512EA">
        <w:rPr>
          <w:rFonts w:ascii="Minion Pro" w:hAnsi="Minion Pro"/>
        </w:rPr>
        <w:instrText>ADDIN CSL_CITATION {"citationItems":[{"id":"ITEM-1","itemData":{"abstract":"Publikasi “Kalimantan Tengah Dalam Angka 2015” merupakan kelanjutan dari publikasi tahun sebelumnya yang diterbitkan secara berkala oleh Badan Pusat Statistik (BPS) Propinsi Kalimantan Tengah. Publikasi ini merupakan upaya dalam mengembangkan perstatistikan daerah untuk menyediakan data yang terpadu bagi berbagai keperluan didaerah ini. Dalam penyusunan publikasi ini, data yang dihimpun selain bersumber dari data primer juga dari data sekunder, baik instansi pemerintah maupun swasta. Seperti halnya pada publikasi terdahulu, dilakukan penyempurnaan, penambahan dan penyederhanaan tabel-tabel sesuai dengan kebutuhan pengguna data.","author":[{"dropping-particle":"","family":"SI","given":"","non-dropping-particle":"","parse-names":false,"suffix":""}],"container-title":"Statistics Indonesia","id":"ITEM-1","issued":{"date-parts":[["2015"]]},"title":"Central Kalimantan In Figures 2015","type":"article-journal"},"uris":["http://www.mendeley.com/documents/?uuid=dfd89e91-41a1-344b-b56e-0561b1049459"]},{"id":"ITEM-2","itemData":{"abstract":"See notes. Social economic data, very little environmental, only climate (rainfall temp etc) for 3 cities.","author":[{"dropping-particle":"","family":"BPS Kalteng","given":"","non-dropping-particle":"","parse-names":false,"suffix":""}],"container-title":"Provinsi Kalimantan Tengah Dalam Angka","id":"ITEM-2","issued":{"date-parts":[["2022"]]},"title":"Provinsi Kalimantan Tengah Dalam Angka","type":"article-journal"},"uris":["http://www.mendeley.com/documents/?uuid=d0643688-07fd-372d-bb67-19a1c308ede6"]}],"mendeley":{"formattedCitation":"(BPS Kalteng, 2022; SI, 2015)","plainTextFormattedCitation":"(BPS Kalteng, 2022; SI, 2015)","previouslyFormattedCitation":"(BPS Kalteng, 2022; SI, 2015)"},"properties":{"noteIndex":0},"schema":"https://github.com/citation-style-language/schema/raw/master/csl-citation.json"}</w:instrText>
      </w:r>
      <w:r w:rsidRPr="00AE1B92">
        <w:rPr>
          <w:rFonts w:ascii="Minion Pro" w:hAnsi="Minion Pro"/>
        </w:rPr>
        <w:fldChar w:fldCharType="separate"/>
      </w:r>
      <w:r w:rsidR="008512EA" w:rsidRPr="008512EA">
        <w:rPr>
          <w:rFonts w:ascii="Minion Pro" w:hAnsi="Minion Pro"/>
          <w:noProof/>
        </w:rPr>
        <w:t>(BPS Kalteng, 2022; SI, 2015)</w:t>
      </w:r>
      <w:r w:rsidRPr="00AE1B92">
        <w:rPr>
          <w:rFonts w:ascii="Minion Pro" w:hAnsi="Minion Pro"/>
        </w:rPr>
        <w:fldChar w:fldCharType="end"/>
      </w:r>
      <w:r w:rsidRPr="00AE1B92">
        <w:rPr>
          <w:rFonts w:ascii="Minion Pro" w:hAnsi="Minion Pro"/>
        </w:rPr>
        <w:t>.</w:t>
      </w:r>
    </w:p>
    <w:p w14:paraId="0A62F41C" w14:textId="3CD42F0A" w:rsidR="002518A6" w:rsidRDefault="00C17F29" w:rsidP="00766F56">
      <w:pPr>
        <w:spacing w:after="0" w:line="360" w:lineRule="auto"/>
        <w:jc w:val="both"/>
        <w:rPr>
          <w:rFonts w:ascii="Minion Pro" w:hAnsi="Minion Pro" w:cs="Times New Roman"/>
          <w:sz w:val="24"/>
          <w:szCs w:val="24"/>
        </w:rPr>
      </w:pPr>
      <w:r>
        <w:rPr>
          <w:rFonts w:ascii="Times New Roman" w:hAnsi="Times New Roman"/>
          <w:noProof/>
          <w:sz w:val="24"/>
          <w:szCs w:val="24"/>
        </w:rPr>
        <w:pict w14:anchorId="238FE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1582727" o:spid="_x0000_i1025" type="#_x0000_t75" alt="A map of the world and a map of the world&#10;&#10;Description automatically generated" style="width:429.75pt;height:184.25pt;visibility:visible;mso-wrap-style:square">
            <v:imagedata r:id="rId13" o:title="A map of the world and a map of the world&#10;&#10;Description automatically generated" croptop="4319f"/>
          </v:shape>
        </w:pict>
      </w:r>
    </w:p>
    <w:p w14:paraId="113B963D" w14:textId="6716360D" w:rsidR="002518A6" w:rsidRDefault="00AE1B92" w:rsidP="00AE1B92">
      <w:pPr>
        <w:spacing w:after="0" w:line="360" w:lineRule="auto"/>
        <w:jc w:val="center"/>
        <w:rPr>
          <w:rFonts w:ascii="Minion Pro" w:hAnsi="Minion Pro"/>
          <w:sz w:val="24"/>
          <w:szCs w:val="26"/>
        </w:rPr>
      </w:pPr>
      <w:r w:rsidRPr="00AE1B92">
        <w:rPr>
          <w:rFonts w:ascii="Minion Pro" w:hAnsi="Minion Pro"/>
          <w:sz w:val="24"/>
          <w:szCs w:val="26"/>
        </w:rPr>
        <w:t>Figure 1. Map of research site in Central Kalimantan Province, Indonesia</w:t>
      </w:r>
    </w:p>
    <w:p w14:paraId="70F63A2E" w14:textId="70480052" w:rsidR="009F557E" w:rsidRDefault="009F557E" w:rsidP="009F557E">
      <w:pPr>
        <w:pStyle w:val="MDPI31text"/>
        <w:spacing w:line="360" w:lineRule="auto"/>
        <w:ind w:left="0" w:firstLine="720"/>
        <w:rPr>
          <w:rFonts w:ascii="Minion Pro" w:hAnsi="Minion Pro"/>
        </w:rPr>
      </w:pPr>
      <w:r w:rsidRPr="009F557E">
        <w:rPr>
          <w:rFonts w:ascii="Minion Pro" w:hAnsi="Minion Pro"/>
        </w:rPr>
        <w:lastRenderedPageBreak/>
        <w:t>Central Kalimantan has a tropical climate with the temperature ranged from 21.2</w:t>
      </w:r>
      <w:r w:rsidRPr="009F557E">
        <w:rPr>
          <w:rFonts w:ascii="Minion Pro" w:hAnsi="Minion Pro"/>
          <w:vertAlign w:val="superscript"/>
        </w:rPr>
        <w:t>0</w:t>
      </w:r>
      <w:r w:rsidRPr="009F557E">
        <w:rPr>
          <w:rFonts w:ascii="Minion Pro" w:hAnsi="Minion Pro"/>
        </w:rPr>
        <w:t xml:space="preserve"> C to 34.8</w:t>
      </w:r>
      <w:r w:rsidRPr="009F557E">
        <w:rPr>
          <w:rFonts w:ascii="Minion Pro" w:hAnsi="Minion Pro"/>
          <w:vertAlign w:val="superscript"/>
        </w:rPr>
        <w:t>0</w:t>
      </w:r>
      <w:r w:rsidRPr="009F557E">
        <w:rPr>
          <w:rFonts w:ascii="Minion Pro" w:hAnsi="Minion Pro"/>
        </w:rPr>
        <w:t xml:space="preserve"> C </w:t>
      </w:r>
      <w:r w:rsidRPr="009F557E">
        <w:rPr>
          <w:rFonts w:ascii="Minion Pro" w:hAnsi="Minion Pro"/>
        </w:rPr>
        <w:fldChar w:fldCharType="begin" w:fldLock="1"/>
      </w:r>
      <w:r w:rsidR="00147C11">
        <w:rPr>
          <w:rFonts w:ascii="Minion Pro" w:hAnsi="Minion Pro"/>
        </w:rPr>
        <w:instrText xml:space="preserve">ADDIN CSL_CITATION {"citationItems":[{"id":"ITEM-1","itemData":{"DOI":"10.1080/01431160903302981","ISSN":"13665901","abstract":"Multitemporal Principal Component Analysis (MPCA) was used for processing Landsat Thematic Mapper (TM)/Enhanced Thematic Mapper plus (ETM+) satellite images. MPCA was able to merge spectral data corresponding to TM-1996 (prefire in 1997), ETM-2000 (post-fire 1997 and pre-fire 2002) and ETM-2003 (post-fire in 2002), which was crucial for detecting the fire impact and vegetation recovery. Results indicate that the burnt areas of 1997 and 2002 were 89,086 ha (16.5%) and 31,859 ha (5.9%), respectively, within the study area of 540,000 ha. Satellite Pour 1'Observation de la Terre (SPOT)-VEGETATION 10-day Maximum Value Composite (MVC) data were also used and compared with Normalized Difference Vegetation Index (NDVI) from ground-based NDVI. Our research demonstrates the strong relationship between LandsatTM/ETM+, SPOT-VEGETATION data and ground-based NDVI in identifying land-cover changes and vegetation recovery over the tropical peat swamp forest area in Central Kalimantan, Indonesia that is affected by forest fires that occurred in 1997 and 2002. © 2010 Taylor &amp; Francis.","author":[{"dropping-particle":"","family":"Hendrik","given":"Segah","non-dropping-particle":"","parse-names":false,"suffix":""},{"dropping-particle":"","family":"Tani","given":"Hiroshi","non-dropping-particle":"","parse-names":false,"suffix":""},{"dropping-particle":"","family":"Hirano","given":"Takashi","non-dropping-particle":"","parse-names":false,"suffix":""}],"container-title":"International Journal of Remote Sensing","id":"ITEM-1","issue":"20","issued":{"date-parts":[["2010"]]},"page":"5297-5314","title":"Detection of fire impact and vegetation recovery over tropical peat swamp forest by satellite data and ground-based NDVI instrument","type":"article-journal","volume":"31"},"uris":["http://www.mendeley.com/documents/?uuid=8742318b-8d38-499b-b11c-2f9fc77c4c19"]},{"id":"ITEM-2","itemData":{"DOI":"10.21273/hortsci.42.7.1737","ISSN":"00185345","abstract":"The effect of arbuscular mycorrhizal (AM) colonization on nitrogen (N) and phosphorus (P) uptake and shoot growth of Aloe vera was investigated. Plants were inoculated with one of two AM fungi, Glomus clarum or Gigaspora decipiens. Control plants were not inoculated. Plants were grown under glasshouse conditions in a peat land soil without fertilizers for 12 months. Inoculated A. vera plants were colonized with AM fungi. Total length of leaves and number of leaves were higher in inoculated plants than uninoculated plants 12 months after inoculation. Shoot N and P concentrations were higher in inoculated plants than uninoculated plants. Shoot fresh weight was increased by AM colonization. This result suggests that AM colonization can increase the nutrient uptake and growth of A. vera.","author":[{"dropping-particle":"","family":"Tawaraya","given":"Keitaro","non-dropping-particle":"","parse-names":false,"suffix":""},{"dropping-particle":"","family":"Turjaman","given":"Maman","non-dropping-particle":"","parse-names":false,"suffix":""},{"dropping-particle":"","family":"Ekamawanti","given":"Hanna Artuti","non-dropping-particle":"","parse-names":false,"suffix":""}],"container-title":"HortScience","id":"ITEM-2","issue":"7","issued":{"date-parts":[["2007"]]},"page":"1737-1739","title":"Effect of arbuscular mycorrhizal colonization on nitrogen and phosphorus uptake and growth of Aloe vera L.","type":"article-journal","volume":"42"},"uris":["http://www.mendeley.com/documents/?uuid=5057a84f-a6f0-476e-b145-e3e0ca293421"]},{"id":"ITEM-3","itemData":{"DOI":"10.1002/jqs.884","ISSN":"02678179","abstract":"A 9.5 m core from an inland peatland in Kalimantan, Indonesia, reveals organic matter accumulation started around 26 000 cal. yr BP, providing the oldest reported initiation date for lowland ombrotrophic peat formation in SE Asia. The core shows clear evidence for differential rates of peat formation and carbon storage. A short period of initial accumulation is followed by a slow rate during the LGM, with fastest accumulation during the Holocene. Between </w:instrText>
      </w:r>
      <w:r w:rsidR="00147C11">
        <w:rPr>
          <w:rFonts w:ascii="Cambria Math" w:hAnsi="Cambria Math" w:cs="Cambria Math"/>
        </w:rPr>
        <w:instrText>∼</w:instrText>
      </w:r>
      <w:r w:rsidR="00147C11">
        <w:rPr>
          <w:rFonts w:ascii="Minion Pro" w:hAnsi="Minion Pro"/>
        </w:rPr>
        <w:instrText xml:space="preserve"> 13000 and 8000 cal. yr BP,&gt;450 cm of peat were deposited, with highest rates of peat (&gt;2 mm yr-1) and carbon (&gt;90 g Cm-2 yr-1 accumulation between 9530 and 8590 cal. yr BP. These data suggest that Kalimantan peatlands acted as a large sink of atmospheric CO2 at this time. Slower rates of peat (0.15-0.38 mm yr-1) and carbon (7.4-24.0 g Cm-2 yr-1) accumulation between </w:instrText>
      </w:r>
      <w:r w:rsidR="00147C11">
        <w:rPr>
          <w:rFonts w:ascii="Cambria Math" w:hAnsi="Cambria Math" w:cs="Cambria Math"/>
        </w:rPr>
        <w:instrText>∼</w:instrText>
      </w:r>
      <w:r w:rsidR="00147C11">
        <w:rPr>
          <w:rFonts w:ascii="Minion Pro" w:hAnsi="Minion Pro"/>
        </w:rPr>
        <w:instrText>8000 and 500 cal. yr BP coincide with rapid peat formation in coastal locations elsewhere in SE Asia. The average LORCA (long-term apparent carbon accumulation rate) for the 9.5 m core is 56 g Cm -2 yr-1. These data suggest that studies of global carbon sources, sinks and their dynamics need to include information on the past and present sizeable peat deposits of the tropics. Copyright © 2004 John Wiley &amp; Sons, Ltd.","author":[{"dropping-particle":"","family":"Page","given":"Susan E.","non-dropping-particle":"","parse-names":false,"suffix":""},{"dropping-particle":"","family":"Wust","given":"R. A.J.","non-dropping-particle":"","parse-names":false,"suffix":""},{"dropping-particle":"","family":"Weiss","given":"D.","non-dropping-particle":"","parse-names":false,"suffix":""},{"dropping-particle":"","family":"Rieley","given":"J. O.","non-dropping-particle":"","parse-names":false,"suffix":""},{"dropping-particle":"","family":"Shotyk","given":"W.","non-dropping-particle":"","parse-names":false,"suffix":""},{"dropping-particle":"","family":"Limin","given":"S. H.","non-dropping-particle":"","parse-names":false,"suffix":""}],"container-title":"Journal of Quaternary Science","id":"ITEM-3","issue":"7","issued":{"date-parts":[["2004"]]},"page":"625-635","title":"A record of Late Pleistocene and Holocene carbon accumulation and climate change from an equatorial peat bog (Kalimantan, Indonesia): Implications for past, present and future carbon dynamics","type":"article-journal","volume":"19"},"uris":["http://www.mendeley.com/documents/?uuid=808167a6-55b8-4523-b510-4645006f7a92"]},{"id":"ITEM-4","itemData":{"DOI":"10.1111/j.1365-2486.2012.02793.x","ISSN":"13541013","abstract":"Tropical peatlands have accumulated huge soil carbon over millennia. However, the carbon pool is presently disturbed on a large scale by land development and management, and consequently has become vulnerable. Peat degradation occurs most rapidly and massively in Indonesia, because of fires, drainage, and deforestation of swamp forests coexisting with tropical peat. Peat burning releases carbon dioxide (CO 2) intensively but occasionally, whereas drainage increases CO 2 emission steadily through the acceleration of aerobic peat decomposition. Therefore, tropical peatlands present the threat of switching from a carbon sink to a carbon source to the atmosphere. However, the ecosystem-scale carbon exchange is still not known in tropical peatlands. A long-term field experiment in Central Kalimantan, Indonesia showed that tropical peat ecosystems, including a relatively intact peat swamp forest with little drainage (UF), a drained swamp forest (DF), and a drained burnt swamp forest (DB), functioned as net carbon sources. Mean annual net ecosystem CO 2 exchange (NEE) (± a standard deviation) for 4 years from July 2004 to July 2008 was 174 ± 203, 328 ± 204 and 499 ± 72 gC m -2 yr -1, respectively, for the UF, DF, and DB sites. The carbon emissions increased according to disturbance degrees. We found that the carbon balance of each ecosystem was chiefly controlled by groundwater level (GWL). The NEE showed a linear relationship with GWL on an annual basis. The relationships suggest that annual CO 2 emissions increase by 79-238 gC m -2 every 0.1 m of GWL lowering probably because of the enhancement of oxidative peat decomposition. In addition, CO 2 uptake by vegetation photosynthesis was reduced by shading due to dense smoke from peat fires ignited accidentally or for agricultural practices. Our results may indicate that tropical peatland ecosystems are no longer a carbon sink under the pressure of human activities. © 2012 Blackwell Publishing Ltd.","author":[{"dropping-particle":"","family":"Hirano","given":"Takashi","non-dropping-particle":"","parse-names":false,"suffix":""},{"dropping-particle":"","family":"Segah","given":"Hendrik","non-dropping-particle":"","parse-names":false,"suffix":""},{"dropping-particle":"","family":"Kusin","given":"Kitso","non-dropping-particle":"","parse-names":false,"suffix":""},{"dropping-particle":"","family":"Limin","given":"Suwido","non-dropping-particle":"","parse-names":false,"suffix":""},{"dropping-particle":"","family":"Takahashi","given":"Hidenori","non-dropping-particle":"","parse-names":false,"suffix":""},{"dropping-particle":"","family":"Osaki","given":"Mitsuru","non-dropping-particle":"","parse-names":false,"suffix":""}],"container-title":"Global Change Biology","id":"ITEM-4","issue":"11","issued":{"date-parts":[["2012"]]},"page":"3410-3422","title":"Effects of disturbances on the carbon balance of tropical peat swamp forests","type":"article-journal","volume":"18"},"uris":["http://www.mendeley.com/documents/?uuid=701dc7d3-e1eb-4f39-ba7f-b9094518c34e"]}],"mendeley":{"formattedCitation":"(Hendrik et al., 2010; Hirano et al., 2012; Page et al., 2004; Tawaraya et al., 2007)","plainTextFormattedCitation":"(Hendrik et al., 2010; Hirano et al., 2012; Page et al., 2004; Tawaraya et al., 2007)","previouslyFormattedCitation":"(Hendrik, Tani, &amp; Hirano, 2010; Hirano et al., 2012; Page et al., 2004; Tawaraya, Turjaman, &amp; Ekamawanti, 2007)"},"properties":{"noteIndex":0},"schema":"https://github.com/citation-style-language/schema/raw/master/csl-citation.json"}</w:instrText>
      </w:r>
      <w:r w:rsidRPr="009F557E">
        <w:rPr>
          <w:rFonts w:ascii="Minion Pro" w:hAnsi="Minion Pro"/>
        </w:rPr>
        <w:fldChar w:fldCharType="separate"/>
      </w:r>
      <w:r w:rsidR="00147C11" w:rsidRPr="00147C11">
        <w:rPr>
          <w:rFonts w:ascii="Minion Pro" w:hAnsi="Minion Pro"/>
          <w:noProof/>
        </w:rPr>
        <w:t>(Hendrik et al., 2010; Hirano et al., 2012; Page et al., 2004; Tawaraya et al., 2007)</w:t>
      </w:r>
      <w:r w:rsidRPr="009F557E">
        <w:rPr>
          <w:rFonts w:ascii="Minion Pro" w:hAnsi="Minion Pro"/>
        </w:rPr>
        <w:fldChar w:fldCharType="end"/>
      </w:r>
      <w:r w:rsidRPr="009F557E">
        <w:rPr>
          <w:rFonts w:ascii="Minion Pro" w:hAnsi="Minion Pro"/>
        </w:rPr>
        <w:t xml:space="preserve">. The sunlight available abundantly ranged from 52% - 69%, creating favorable conditions for agriculture and plantations. The condition of social and ecosystem condition influenced by the river. The south part of Central Kalimantan is flat low land with altitude 1-9 meter above sea level. Whist the north side is mountain area and hilly contour. Beside rivers, the altitude and contour also have influence on the type of ecosystem. Peat swamp forest and low land forest dominated South area and high land dipterocarps forest is dominant at north side </w:t>
      </w:r>
      <w:r w:rsidRPr="009F557E">
        <w:rPr>
          <w:rFonts w:ascii="Minion Pro" w:hAnsi="Minion Pro"/>
        </w:rPr>
        <w:fldChar w:fldCharType="begin" w:fldLock="1"/>
      </w:r>
      <w:r w:rsidR="008512EA">
        <w:rPr>
          <w:rFonts w:ascii="Minion Pro" w:hAnsi="Minion Pro"/>
        </w:rPr>
        <w:instrText>ADDIN CSL_CITATION {"citationItems":[{"id":"ITEM-1","itemData":{"abstract":"See notes. Social economic data, very little environmental, only climate (rainfall temp etc) for 3 cities.","author":[{"dropping-particle":"","family":"BPS Kalteng","given":"","non-dropping-particle":"","parse-names":false,"suffix":""}],"container-title":"Provinsi Kalimantan Tengah Dalam Angka","id":"ITEM-1","issued":{"date-parts":[["2022"]]},"title":"Provinsi Kalimantan Tengah Dalam Angka","type":"article-journal"},"uris":["http://www.mendeley.com/documents/?uuid=d0643688-07fd-372d-bb67-19a1c308ede6"]}],"mendeley":{"formattedCitation":"(BPS Kalteng, 2022)","plainTextFormattedCitation":"(BPS Kalteng, 2022)","previouslyFormattedCitation":"(BPS Kalteng, 2022)"},"properties":{"noteIndex":0},"schema":"https://github.com/citation-style-language/schema/raw/master/csl-citation.json"}</w:instrText>
      </w:r>
      <w:r w:rsidRPr="009F557E">
        <w:rPr>
          <w:rFonts w:ascii="Minion Pro" w:hAnsi="Minion Pro"/>
        </w:rPr>
        <w:fldChar w:fldCharType="separate"/>
      </w:r>
      <w:r w:rsidR="008512EA" w:rsidRPr="008512EA">
        <w:rPr>
          <w:rFonts w:ascii="Minion Pro" w:hAnsi="Minion Pro"/>
          <w:noProof/>
        </w:rPr>
        <w:t>(BPS Kalteng, 2022)</w:t>
      </w:r>
      <w:r w:rsidRPr="009F557E">
        <w:rPr>
          <w:rFonts w:ascii="Minion Pro" w:hAnsi="Minion Pro"/>
        </w:rPr>
        <w:fldChar w:fldCharType="end"/>
      </w:r>
      <w:r w:rsidRPr="009F557E">
        <w:rPr>
          <w:rFonts w:ascii="Minion Pro" w:hAnsi="Minion Pro"/>
        </w:rPr>
        <w:t>.</w:t>
      </w:r>
    </w:p>
    <w:p w14:paraId="5BD90E89" w14:textId="68D58520" w:rsidR="009F557E" w:rsidRDefault="009F557E" w:rsidP="009F557E">
      <w:pPr>
        <w:pStyle w:val="MDPI31text"/>
        <w:spacing w:line="360" w:lineRule="auto"/>
        <w:ind w:left="0" w:firstLine="720"/>
        <w:rPr>
          <w:rFonts w:ascii="Minion Pro" w:hAnsi="Minion Pro"/>
        </w:rPr>
      </w:pPr>
      <w:r w:rsidRPr="009F557E">
        <w:rPr>
          <w:rFonts w:ascii="Minion Pro" w:hAnsi="Minion Pro"/>
        </w:rPr>
        <w:t xml:space="preserve">Central Kalimantan's ecosystem is heavily influenced by the presence of rivers. From a socio-economic perspective, rivers also play an important role for the community. In some areas where there is no land access yet, rivers still play an important role in transportation so that in general, many settlements for the people of Central Kalimantan are located on riverbanks. Rivers also play an important role from an economic standpoint, rivers where people catch fish, look for gold and provide water for their daily needs. There are 11 major rivers and 33 tributaries spread throughout the Central Kalimantan region. The longest river is the Barito River with a length of 900 km, while the shortest river is the Kumai River with a length of 175 km. Central Kalimantan contains about three million hectares of peatland which is one of the largest unbroken peatland in the world and located between 0º 45’ N and 3º 3’ S, between 111º and 116º E </w:t>
      </w:r>
      <w:r w:rsidRPr="009F557E">
        <w:rPr>
          <w:rFonts w:ascii="Minion Pro" w:hAnsi="Minion Pro"/>
        </w:rPr>
        <w:fldChar w:fldCharType="begin" w:fldLock="1"/>
      </w:r>
      <w:r w:rsidR="008512EA">
        <w:rPr>
          <w:rFonts w:ascii="Minion Pro" w:hAnsi="Minion Pro"/>
        </w:rPr>
        <w:instrText>ADDIN CSL_CITATION {"citationItems":[{"id":"ITEM-1","itemData":{"ISBN":"Paper presented at the 22nd Asian Conference on Remote Sensing, 5-9 November","abstract":"The province of Central Kalimantan contains about three million hectares of peatland, which is one of the largest unbroken tropical peatland areas in the world. Peat swamp forest (PSF) is among the earth's most endangered and least known ecosystem (12). They have a huge carbon storage capacity and are extremely fragile and liable to disturbance (10). Local communities have used them extensively for centuries with no significant effect on the environment. This changed in 1996 when a programme of massive peatland conversion, the so-called Mega Rice Project (MRP), was initiated with the aim of converting one million hectares of peatland into rice fields. Between January 1996 and July 1998 more than 4000km of drainage and irrigation channels were constructed in the area designated for the MRP (9). Many people were able to access the previously inaccessible interior of this peatland landscape to exploit the residual timber resources, mostly doing this on illegal logging basis and using fire in the process. In August 1997 deforestation was initiated by means of fire clearance as the most economical method. Boosted by the El Niño Southern Oscillation (ENSO) episode in 1997, many of these fires set for land clearing spread into pristine forest areas where they continued to burn with greater intensity. The newly established drainage system aggravated fire impact, fostering this disaster. During five months of drought, the peat layer lost most of its water and the peat itself was ignited. A huge cloud of yellow, noxious smog covered 15 million km² of Southeast Asia for several weeks. After removal of the commercial timber, the remaining tree debris was removed by means of fire as the cheapest, most readily available land clearance method. Using optical and microwave satellite images and ground surveys, it was found that more than 20% of the PSF of the province was destroyed by fire in 1997. Since peat hydrology was disturbed by the drainage system, and the forest biomass was only partly combusted, the risk of fire is expected to be extremely high in the near future. The multi-temporal analysis of six LANDSAT TM image acquired between 1991, 1997 (before the fires) and 2000 shows the quick changement of the sensitive peatland and high rates of deforestation. Two TM images, 118-61 and 118- 62, with 5.4 million ha were compared. Additionally the MRP area between the Rivers Sebangau in the West, River Kahayan, River Kapuas and River Barito in the East and the Java Sea…","author":[{"dropping-particle":"","family":"Boehm","given":"Hdv","non-dropping-particle":"","parse-names":false,"suffix":""},{"dropping-particle":"","family":"Siegert","given":"F.","non-dropping-particle":"","parse-names":false,"suffix":""}],"container-title":"Paper presented at the 22nd Asian Conference on Remote Sensing","id":"ITEM-1","issue":"November","issued":{"date-parts":[["2001"]]},"page":"6","title":"Ecological impact of the One Million Hectare Rice Project in Central Kalimantan, Indonesia, using Remote Sensing and GIS","type":"article-journal","volume":"5"},"uris":["http://www.mendeley.com/documents/?uuid=84efaf4b-dd0e-4c1b-bf4c-39fdb7bcf39a"]},{"id":"ITEM-2","itemData":{"abstract":"See notes. Social economic data, very little environmental, only climate (rainfall temp etc) for 3 cities.","author":[{"dropping-particle":"","family":"BPS Kalteng","given":"","non-dropping-particle":"","parse-names":false,"suffix":""}],"container-title":"Provinsi Kalimantan Tengah Dalam Angka","id":"ITEM-2","issued":{"date-parts":[["2022"]]},"title":"Provinsi Kalimantan Tengah Dalam Angka","type":"article-journal"},"uris":["http://www.mendeley.com/documents/?uuid=d0643688-07fd-372d-bb67-19a1c308ede6"]}],"mendeley":{"formattedCitation":"(Boehm &amp; Siegert, 2001; BPS Kalteng, 2022)","plainTextFormattedCitation":"(Boehm &amp; Siegert, 2001; BPS Kalteng, 2022)","previouslyFormattedCitation":"(Boehm &amp; Siegert, 2001; BPS Kalteng, 2022)"},"properties":{"noteIndex":0},"schema":"https://github.com/citation-style-language/schema/raw/master/csl-citation.json"}</w:instrText>
      </w:r>
      <w:r w:rsidRPr="009F557E">
        <w:rPr>
          <w:rFonts w:ascii="Minion Pro" w:hAnsi="Minion Pro"/>
        </w:rPr>
        <w:fldChar w:fldCharType="separate"/>
      </w:r>
      <w:r w:rsidR="008512EA" w:rsidRPr="008512EA">
        <w:rPr>
          <w:rFonts w:ascii="Minion Pro" w:hAnsi="Minion Pro"/>
          <w:noProof/>
        </w:rPr>
        <w:t>(Boehm &amp; Siegert, 2001; BPS Kalteng, 2022)</w:t>
      </w:r>
      <w:r w:rsidRPr="009F557E">
        <w:rPr>
          <w:rFonts w:ascii="Minion Pro" w:hAnsi="Minion Pro"/>
        </w:rPr>
        <w:fldChar w:fldCharType="end"/>
      </w:r>
      <w:r w:rsidRPr="009F557E">
        <w:rPr>
          <w:rFonts w:ascii="Minion Pro" w:hAnsi="Minion Pro"/>
        </w:rPr>
        <w:t xml:space="preserve">. </w:t>
      </w:r>
    </w:p>
    <w:p w14:paraId="311032A4" w14:textId="49A9E97E" w:rsidR="009F557E" w:rsidRPr="009F557E" w:rsidRDefault="009F557E" w:rsidP="009F557E">
      <w:pPr>
        <w:pStyle w:val="MDPI31text"/>
        <w:spacing w:line="360" w:lineRule="auto"/>
        <w:ind w:left="0" w:firstLine="720"/>
        <w:rPr>
          <w:rFonts w:ascii="Minion Pro" w:hAnsi="Minion Pro"/>
        </w:rPr>
      </w:pPr>
      <w:r w:rsidRPr="009F557E">
        <w:rPr>
          <w:rFonts w:ascii="Minion Pro" w:hAnsi="Minion Pro"/>
        </w:rPr>
        <w:t xml:space="preserve">Based on the Central Kalimantan Provincial Spatial Plan for 2021, the total allocation for protected forest is 3,630,142 ha and 12,120,330 ha for productive forest area. As shown in </w:t>
      </w:r>
      <w:r w:rsidRPr="009F557E">
        <w:rPr>
          <w:rFonts w:ascii="Minion Pro" w:hAnsi="Minion Pro"/>
          <w:b/>
          <w:bCs/>
        </w:rPr>
        <w:t>Table 1</w:t>
      </w:r>
      <w:r w:rsidRPr="009F557E">
        <w:rPr>
          <w:rFonts w:ascii="Minion Pro" w:hAnsi="Minion Pro"/>
        </w:rPr>
        <w:t xml:space="preserve">, from the proportion of protected forest areas, the provincial government allocated 600,000 ha for Customary Forests and 35,627 for Grand Forest Parks (or Taman </w:t>
      </w:r>
      <w:proofErr w:type="spellStart"/>
      <w:r w:rsidRPr="009F557E">
        <w:rPr>
          <w:rFonts w:ascii="Minion Pro" w:hAnsi="Minion Pro"/>
        </w:rPr>
        <w:t>Hutan</w:t>
      </w:r>
      <w:proofErr w:type="spellEnd"/>
      <w:r w:rsidRPr="009F557E">
        <w:rPr>
          <w:rFonts w:ascii="Minion Pro" w:hAnsi="Minion Pro"/>
        </w:rPr>
        <w:t xml:space="preserve"> Rakyat/TAHURA). It is hoped that in the future the role of indigenous peoples in managing and conserving nature will be increased </w:t>
      </w:r>
      <w:r w:rsidRPr="009F557E">
        <w:rPr>
          <w:rFonts w:ascii="Minion Pro" w:hAnsi="Minion Pro"/>
        </w:rPr>
        <w:fldChar w:fldCharType="begin" w:fldLock="1"/>
      </w:r>
      <w:r w:rsidR="00147C11">
        <w:rPr>
          <w:rFonts w:ascii="Minion Pro" w:hAnsi="Minion Pro"/>
        </w:rPr>
        <w:instrText>ADDIN CSL_CITATION {"citationItems":[{"id":"ITEM-1","itemData":{"author":[{"dropping-particle":"","family":"Supriatna","given":"Tjahya","non-dropping-particle":"","parse-names":false,"suffix":""},{"dropping-particle":"","family":"Lukman","given":"Sampara","non-dropping-particle":"","parse-names":false,"suffix":""},{"dropping-particle":"","family":"Daraba","given":"Dahyar","non-dropping-particle":"","parse-names":false,"suffix":""}],"id":"ITEM-1","issued":{"date-parts":[["0"]]},"page":"8705-8715","title":"Planning Strategy Spatial Plan for the Province of Central Kalimantan","type":"article-journal"},"uris":["http://www.mendeley.com/documents/?uuid=19bbf2cd-47b1-4cba-9a91-2b9189d73cd4"]},{"id":"ITEM-2","itemData":{"DOI":"10.33084/restorica.v5i2.1074","ISSN":"2407-3881","abstract":"The research aims to obtain an overview of the legal reconstruction of the regional Spatial Plan of central Kalimantan province-based environmental sustainability. The policy and strategy of spatial and regional development are required to answer the issues or development problems that develop today. The issues include the occurrence of conflicts of interest between sectors, such as mining, environment, forestry, regional infrastructure and so on. Spatial planning does not work optimally to synchronize various sector plans and programs. The occurrence of space utilization deviation from the provisions and norms that should be enforced due to policy inconsistency of spatial plans and weaknesses in development control. The occurrence of a discrepancy between the legal provisions governing the spatial plan with the facts occurring in the field. \r This type of research is the research of normative law which is also commonly referred to as the type of doctrinal law research. According to Wignoyosoebroto this type of research is a study of the laws that are conceptualized and developed based on the doctrines adopted by the conceptualizing and or the developers. The results showed that the overlap of legislation between state institutions poses confusion for it is required once the renewal of law between state agencies so as not to happen overlap or Inconsistency between the laws and regulations of the other legislation.","author":[{"dropping-particle":"","family":"Laksminarti","given":"Laksminarti","non-dropping-particle":"","parse-names":false,"suffix":""}],"container-title":"Restorica: Jurnal Ilmiah Ilmu Administrasi Negara dan Ilmu Komunikasi","id":"ITEM-2","issue":"2","issued":{"date-parts":[["2019"]]},"title":"Rekonstruksi Hukum Pengaturan Rencana Tata Ruang Wilayah Provinsi Kalimantan Tengah Berbasis Keberlanjutan Lingkungan","type":"article-journal","volume":"5"},"uris":["http://www.mendeley.com/documents/?uuid=bd92c931-2743-3379-a9b0-90f67d1d8302"]},{"id":"ITEM-3","itemData":{"abstract":"See notes. Social economic data, very little environmental, only climate (rainfall temp etc) for 3 cities.","author":[{"dropping-particle":"","family":"BPS Kalteng","given":"","non-dropping-particle":"","parse-names":false,"suffix":""}],"container-title":"Provinsi Kalimantan Tengah Dalam Angka","id":"ITEM-3","issued":{"date-parts":[["2022"]]},"title":"Provinsi Kalimantan Tengah Dalam Angka","type":"article-journal"},"uris":["http://www.mendeley.com/documents/?uuid=d0643688-07fd-372d-bb67-19a1c308ede6"]}],"mendeley":{"formattedCitation":"(BPS Kalteng, 2022; Laksminarti, 2019; Supriatna et al., n.d.)","plainTextFormattedCitation":"(BPS Kalteng, 2022; Laksminarti, 2019; Supriatna et al., n.d.)","previouslyFormattedCitation":"(BPS Kalteng, 2022; Laksminarti, 2019; Supriatna, Lukman, &amp; Daraba, n.d.)"},"properties":{"noteIndex":0},"schema":"https://github.com/citation-style-language/schema/raw/master/csl-citation.json"}</w:instrText>
      </w:r>
      <w:r w:rsidRPr="009F557E">
        <w:rPr>
          <w:rFonts w:ascii="Minion Pro" w:hAnsi="Minion Pro"/>
        </w:rPr>
        <w:fldChar w:fldCharType="separate"/>
      </w:r>
      <w:r w:rsidR="00147C11" w:rsidRPr="00147C11">
        <w:rPr>
          <w:rFonts w:ascii="Minion Pro" w:hAnsi="Minion Pro"/>
          <w:noProof/>
        </w:rPr>
        <w:t>(BPS Kalteng, 2022; Laksminarti, 2019; Supriatna et al., n.d.)</w:t>
      </w:r>
      <w:r w:rsidRPr="009F557E">
        <w:rPr>
          <w:rFonts w:ascii="Minion Pro" w:hAnsi="Minion Pro"/>
        </w:rPr>
        <w:fldChar w:fldCharType="end"/>
      </w:r>
      <w:r w:rsidRPr="009F557E">
        <w:rPr>
          <w:rFonts w:ascii="Minion Pro" w:hAnsi="Minion Pro"/>
        </w:rPr>
        <w:t>.</w:t>
      </w:r>
    </w:p>
    <w:p w14:paraId="3815E782" w14:textId="77777777" w:rsidR="009F557E" w:rsidRPr="009F557E" w:rsidRDefault="009F557E" w:rsidP="009F557E">
      <w:pPr>
        <w:pStyle w:val="MDPI31text"/>
        <w:spacing w:before="240" w:after="120"/>
        <w:ind w:left="0" w:firstLine="0"/>
        <w:jc w:val="center"/>
        <w:rPr>
          <w:rFonts w:ascii="Minion Pro" w:hAnsi="Minion Pro"/>
          <w:szCs w:val="20"/>
        </w:rPr>
      </w:pPr>
      <w:r w:rsidRPr="009F557E">
        <w:rPr>
          <w:rFonts w:ascii="Minion Pro" w:hAnsi="Minion Pro"/>
          <w:b/>
          <w:bCs/>
          <w:szCs w:val="20"/>
        </w:rPr>
        <w:t>Table 1.</w:t>
      </w:r>
      <w:r w:rsidRPr="009F557E">
        <w:rPr>
          <w:rFonts w:ascii="Minion Pro" w:hAnsi="Minion Pro"/>
          <w:szCs w:val="20"/>
        </w:rPr>
        <w:t xml:space="preserve"> Forest area classification in Central Kalimantan.</w:t>
      </w:r>
    </w:p>
    <w:tbl>
      <w:tblPr>
        <w:tblW w:w="7857" w:type="dxa"/>
        <w:tblInd w:w="426"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80"/>
        <w:gridCol w:w="3377"/>
      </w:tblGrid>
      <w:tr w:rsidR="009F557E" w:rsidRPr="009F557E" w14:paraId="2B0F4EDA" w14:textId="77777777" w:rsidTr="009F557E">
        <w:tc>
          <w:tcPr>
            <w:tcW w:w="4480" w:type="dxa"/>
            <w:tcBorders>
              <w:bottom w:val="single" w:sz="4" w:space="0" w:color="auto"/>
            </w:tcBorders>
            <w:shd w:val="clear" w:color="auto" w:fill="auto"/>
            <w:vAlign w:val="center"/>
          </w:tcPr>
          <w:p w14:paraId="3B5F2BC3" w14:textId="77777777" w:rsidR="009F557E" w:rsidRPr="009F557E" w:rsidRDefault="009F557E" w:rsidP="003011B8">
            <w:pPr>
              <w:pStyle w:val="MDPI42tablebody"/>
              <w:spacing w:line="240" w:lineRule="auto"/>
              <w:rPr>
                <w:rFonts w:ascii="Minion Pro" w:hAnsi="Minion Pro"/>
                <w:bCs/>
                <w:snapToGrid/>
              </w:rPr>
            </w:pPr>
            <w:r w:rsidRPr="009F557E">
              <w:rPr>
                <w:rFonts w:ascii="Minion Pro" w:hAnsi="Minion Pro"/>
                <w:bCs/>
                <w:snapToGrid/>
              </w:rPr>
              <w:t>Central Kalimantan Provincial Spatial Plan</w:t>
            </w:r>
          </w:p>
        </w:tc>
        <w:tc>
          <w:tcPr>
            <w:tcW w:w="3377" w:type="dxa"/>
            <w:tcBorders>
              <w:bottom w:val="single" w:sz="4" w:space="0" w:color="auto"/>
            </w:tcBorders>
            <w:shd w:val="clear" w:color="auto" w:fill="auto"/>
            <w:vAlign w:val="center"/>
          </w:tcPr>
          <w:p w14:paraId="4D1EA0E5" w14:textId="77777777" w:rsidR="009F557E" w:rsidRPr="009F557E" w:rsidRDefault="009F557E" w:rsidP="003011B8">
            <w:pPr>
              <w:pStyle w:val="MDPI42tablebody"/>
              <w:spacing w:line="240" w:lineRule="auto"/>
              <w:rPr>
                <w:rFonts w:ascii="Minion Pro" w:hAnsi="Minion Pro"/>
                <w:bCs/>
                <w:snapToGrid/>
              </w:rPr>
            </w:pPr>
            <w:r w:rsidRPr="009F557E">
              <w:rPr>
                <w:rFonts w:ascii="Minion Pro" w:hAnsi="Minion Pro"/>
                <w:bCs/>
                <w:snapToGrid/>
              </w:rPr>
              <w:t>Area (ha)</w:t>
            </w:r>
          </w:p>
        </w:tc>
      </w:tr>
      <w:tr w:rsidR="009F557E" w:rsidRPr="009F557E" w14:paraId="0A3A7695" w14:textId="77777777" w:rsidTr="009F557E">
        <w:tc>
          <w:tcPr>
            <w:tcW w:w="7857" w:type="dxa"/>
            <w:gridSpan w:val="2"/>
            <w:shd w:val="clear" w:color="auto" w:fill="auto"/>
          </w:tcPr>
          <w:p w14:paraId="0550DCFD"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A. Protected Forest Area </w:t>
            </w:r>
          </w:p>
        </w:tc>
      </w:tr>
      <w:tr w:rsidR="009F557E" w:rsidRPr="009F557E" w14:paraId="696D9FC9" w14:textId="77777777" w:rsidTr="009F557E">
        <w:tc>
          <w:tcPr>
            <w:tcW w:w="4480" w:type="dxa"/>
            <w:shd w:val="clear" w:color="auto" w:fill="auto"/>
          </w:tcPr>
          <w:p w14:paraId="7FE3ED18"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1. Protection Forest </w:t>
            </w:r>
          </w:p>
        </w:tc>
        <w:tc>
          <w:tcPr>
            <w:tcW w:w="3377" w:type="dxa"/>
            <w:shd w:val="clear" w:color="auto" w:fill="auto"/>
          </w:tcPr>
          <w:p w14:paraId="660BB00C"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1,391,604 </w:t>
            </w:r>
          </w:p>
        </w:tc>
      </w:tr>
      <w:tr w:rsidR="009F557E" w:rsidRPr="009F557E" w14:paraId="58DA1C8D" w14:textId="77777777" w:rsidTr="009F557E">
        <w:tc>
          <w:tcPr>
            <w:tcW w:w="4480" w:type="dxa"/>
            <w:shd w:val="clear" w:color="auto" w:fill="auto"/>
          </w:tcPr>
          <w:p w14:paraId="2D97E3A6"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2. Customary Forest </w:t>
            </w:r>
          </w:p>
        </w:tc>
        <w:tc>
          <w:tcPr>
            <w:tcW w:w="3377" w:type="dxa"/>
            <w:shd w:val="clear" w:color="auto" w:fill="auto"/>
          </w:tcPr>
          <w:p w14:paraId="370513EC"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600,000 </w:t>
            </w:r>
          </w:p>
        </w:tc>
      </w:tr>
      <w:tr w:rsidR="009F557E" w:rsidRPr="009F557E" w14:paraId="386F36FF" w14:textId="77777777" w:rsidTr="009F557E">
        <w:tc>
          <w:tcPr>
            <w:tcW w:w="4480" w:type="dxa"/>
            <w:shd w:val="clear" w:color="auto" w:fill="auto"/>
          </w:tcPr>
          <w:p w14:paraId="42862291"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3. Wildlife Sanctuary </w:t>
            </w:r>
          </w:p>
        </w:tc>
        <w:tc>
          <w:tcPr>
            <w:tcW w:w="3377" w:type="dxa"/>
            <w:shd w:val="clear" w:color="auto" w:fill="auto"/>
          </w:tcPr>
          <w:p w14:paraId="2EE8EA3F"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57,389 </w:t>
            </w:r>
          </w:p>
        </w:tc>
      </w:tr>
      <w:tr w:rsidR="009F557E" w:rsidRPr="009F557E" w14:paraId="1D26306F" w14:textId="77777777" w:rsidTr="009F557E">
        <w:tc>
          <w:tcPr>
            <w:tcW w:w="4480" w:type="dxa"/>
            <w:shd w:val="clear" w:color="auto" w:fill="auto"/>
          </w:tcPr>
          <w:p w14:paraId="1D9DB2C0"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4. Strict Nature Reserve </w:t>
            </w:r>
          </w:p>
        </w:tc>
        <w:tc>
          <w:tcPr>
            <w:tcW w:w="3377" w:type="dxa"/>
            <w:shd w:val="clear" w:color="auto" w:fill="auto"/>
          </w:tcPr>
          <w:p w14:paraId="45DF289F"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198,597 </w:t>
            </w:r>
          </w:p>
        </w:tc>
      </w:tr>
      <w:tr w:rsidR="009F557E" w:rsidRPr="009F557E" w14:paraId="4428F99E" w14:textId="77777777" w:rsidTr="009F557E">
        <w:tc>
          <w:tcPr>
            <w:tcW w:w="4480" w:type="dxa"/>
            <w:shd w:val="clear" w:color="auto" w:fill="auto"/>
          </w:tcPr>
          <w:p w14:paraId="5D1CCF8A"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5. National Park </w:t>
            </w:r>
          </w:p>
        </w:tc>
        <w:tc>
          <w:tcPr>
            <w:tcW w:w="3377" w:type="dxa"/>
            <w:shd w:val="clear" w:color="auto" w:fill="auto"/>
          </w:tcPr>
          <w:p w14:paraId="3552CA55"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1,168,284 </w:t>
            </w:r>
          </w:p>
        </w:tc>
      </w:tr>
      <w:tr w:rsidR="009F557E" w:rsidRPr="009F557E" w14:paraId="748599B3" w14:textId="77777777" w:rsidTr="009F557E">
        <w:tc>
          <w:tcPr>
            <w:tcW w:w="4480" w:type="dxa"/>
            <w:shd w:val="clear" w:color="auto" w:fill="auto"/>
          </w:tcPr>
          <w:p w14:paraId="72FCFAF6"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6. Nature Recreation Park </w:t>
            </w:r>
          </w:p>
        </w:tc>
        <w:tc>
          <w:tcPr>
            <w:tcW w:w="3377" w:type="dxa"/>
            <w:shd w:val="clear" w:color="auto" w:fill="auto"/>
          </w:tcPr>
          <w:p w14:paraId="6E34A407"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2,954 </w:t>
            </w:r>
          </w:p>
        </w:tc>
      </w:tr>
      <w:tr w:rsidR="009F557E" w:rsidRPr="009F557E" w14:paraId="2C0F6E09" w14:textId="77777777" w:rsidTr="009F557E">
        <w:tc>
          <w:tcPr>
            <w:tcW w:w="4480" w:type="dxa"/>
            <w:shd w:val="clear" w:color="auto" w:fill="auto"/>
          </w:tcPr>
          <w:p w14:paraId="44665D4A"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7. Grand Forest Park </w:t>
            </w:r>
          </w:p>
        </w:tc>
        <w:tc>
          <w:tcPr>
            <w:tcW w:w="3377" w:type="dxa"/>
            <w:shd w:val="clear" w:color="auto" w:fill="auto"/>
          </w:tcPr>
          <w:p w14:paraId="2615C410"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35,627 </w:t>
            </w:r>
          </w:p>
        </w:tc>
      </w:tr>
      <w:tr w:rsidR="009F557E" w:rsidRPr="009F557E" w14:paraId="741E76A7" w14:textId="77777777" w:rsidTr="009F557E">
        <w:tc>
          <w:tcPr>
            <w:tcW w:w="4480" w:type="dxa"/>
            <w:shd w:val="clear" w:color="auto" w:fill="auto"/>
          </w:tcPr>
          <w:p w14:paraId="66FD090A"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8. Natural reserve on Ex-Mega Rice Project</w:t>
            </w:r>
          </w:p>
        </w:tc>
        <w:tc>
          <w:tcPr>
            <w:tcW w:w="3377" w:type="dxa"/>
            <w:shd w:val="clear" w:color="auto" w:fill="auto"/>
          </w:tcPr>
          <w:p w14:paraId="1450A033"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154,002 </w:t>
            </w:r>
          </w:p>
        </w:tc>
      </w:tr>
      <w:tr w:rsidR="009F557E" w:rsidRPr="009F557E" w14:paraId="21FBB7F9" w14:textId="77777777" w:rsidTr="009F557E">
        <w:tc>
          <w:tcPr>
            <w:tcW w:w="4480" w:type="dxa"/>
            <w:shd w:val="clear" w:color="auto" w:fill="auto"/>
          </w:tcPr>
          <w:p w14:paraId="4FBAD25D"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9. Black water conservation </w:t>
            </w:r>
          </w:p>
        </w:tc>
        <w:tc>
          <w:tcPr>
            <w:tcW w:w="3377" w:type="dxa"/>
            <w:shd w:val="clear" w:color="auto" w:fill="auto"/>
          </w:tcPr>
          <w:p w14:paraId="4D2510A0"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17,626 </w:t>
            </w:r>
          </w:p>
        </w:tc>
      </w:tr>
      <w:tr w:rsidR="009F557E" w:rsidRPr="009F557E" w14:paraId="415D0D90" w14:textId="77777777" w:rsidTr="009F557E">
        <w:tc>
          <w:tcPr>
            <w:tcW w:w="4480" w:type="dxa"/>
            <w:shd w:val="clear" w:color="auto" w:fill="auto"/>
          </w:tcPr>
          <w:p w14:paraId="50CD89DF"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10. Reserve Region </w:t>
            </w:r>
          </w:p>
        </w:tc>
        <w:tc>
          <w:tcPr>
            <w:tcW w:w="3377" w:type="dxa"/>
            <w:shd w:val="clear" w:color="auto" w:fill="auto"/>
          </w:tcPr>
          <w:p w14:paraId="782F159D"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23 </w:t>
            </w:r>
          </w:p>
        </w:tc>
      </w:tr>
      <w:tr w:rsidR="009F557E" w:rsidRPr="009F557E" w14:paraId="42DC8E7F" w14:textId="77777777" w:rsidTr="009F557E">
        <w:tc>
          <w:tcPr>
            <w:tcW w:w="4480" w:type="dxa"/>
            <w:shd w:val="clear" w:color="auto" w:fill="auto"/>
          </w:tcPr>
          <w:p w14:paraId="29DE2BF3"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11.Other Protected Area </w:t>
            </w:r>
          </w:p>
        </w:tc>
        <w:tc>
          <w:tcPr>
            <w:tcW w:w="3377" w:type="dxa"/>
            <w:shd w:val="clear" w:color="auto" w:fill="auto"/>
          </w:tcPr>
          <w:p w14:paraId="4B48CC90"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4,036 </w:t>
            </w:r>
          </w:p>
        </w:tc>
      </w:tr>
      <w:tr w:rsidR="009F557E" w:rsidRPr="009F557E" w14:paraId="61D9921F" w14:textId="77777777" w:rsidTr="009F557E">
        <w:tc>
          <w:tcPr>
            <w:tcW w:w="4480" w:type="dxa"/>
            <w:shd w:val="clear" w:color="auto" w:fill="auto"/>
          </w:tcPr>
          <w:p w14:paraId="22538457"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Total A </w:t>
            </w:r>
          </w:p>
        </w:tc>
        <w:tc>
          <w:tcPr>
            <w:tcW w:w="3377" w:type="dxa"/>
            <w:shd w:val="clear" w:color="auto" w:fill="auto"/>
          </w:tcPr>
          <w:p w14:paraId="7908CE26"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3,630,142 </w:t>
            </w:r>
          </w:p>
        </w:tc>
      </w:tr>
      <w:tr w:rsidR="009F557E" w:rsidRPr="009F557E" w14:paraId="6DAF676C" w14:textId="77777777" w:rsidTr="009F557E">
        <w:tc>
          <w:tcPr>
            <w:tcW w:w="7857" w:type="dxa"/>
            <w:gridSpan w:val="2"/>
            <w:shd w:val="clear" w:color="auto" w:fill="auto"/>
          </w:tcPr>
          <w:p w14:paraId="72C79516"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B. Production Forest Area </w:t>
            </w:r>
          </w:p>
        </w:tc>
      </w:tr>
      <w:tr w:rsidR="009F557E" w:rsidRPr="009F557E" w14:paraId="3EBB01B1" w14:textId="77777777" w:rsidTr="009F557E">
        <w:tc>
          <w:tcPr>
            <w:tcW w:w="4480" w:type="dxa"/>
            <w:shd w:val="clear" w:color="auto" w:fill="auto"/>
          </w:tcPr>
          <w:p w14:paraId="7D1F92F1"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1. Limited Production Forest </w:t>
            </w:r>
          </w:p>
        </w:tc>
        <w:tc>
          <w:tcPr>
            <w:tcW w:w="3377" w:type="dxa"/>
            <w:shd w:val="clear" w:color="auto" w:fill="auto"/>
          </w:tcPr>
          <w:p w14:paraId="3F55195E"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3,335,571 </w:t>
            </w:r>
          </w:p>
        </w:tc>
      </w:tr>
      <w:tr w:rsidR="009F557E" w:rsidRPr="009F557E" w14:paraId="1323339F" w14:textId="77777777" w:rsidTr="009F557E">
        <w:tc>
          <w:tcPr>
            <w:tcW w:w="4480" w:type="dxa"/>
            <w:shd w:val="clear" w:color="auto" w:fill="auto"/>
          </w:tcPr>
          <w:p w14:paraId="273CB546"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lastRenderedPageBreak/>
              <w:t xml:space="preserve">2. Production Forest </w:t>
            </w:r>
          </w:p>
        </w:tc>
        <w:tc>
          <w:tcPr>
            <w:tcW w:w="3377" w:type="dxa"/>
            <w:shd w:val="clear" w:color="auto" w:fill="auto"/>
          </w:tcPr>
          <w:p w14:paraId="5F030D54"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3,896,706 </w:t>
            </w:r>
          </w:p>
        </w:tc>
      </w:tr>
      <w:tr w:rsidR="009F557E" w:rsidRPr="009F557E" w14:paraId="4C040E28" w14:textId="77777777" w:rsidTr="009F557E">
        <w:tc>
          <w:tcPr>
            <w:tcW w:w="4480" w:type="dxa"/>
            <w:shd w:val="clear" w:color="auto" w:fill="auto"/>
          </w:tcPr>
          <w:p w14:paraId="48802803"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3. Convertible Production Forest </w:t>
            </w:r>
          </w:p>
        </w:tc>
        <w:tc>
          <w:tcPr>
            <w:tcW w:w="3377" w:type="dxa"/>
            <w:shd w:val="clear" w:color="auto" w:fill="auto"/>
          </w:tcPr>
          <w:p w14:paraId="778BDF57"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2,258,274 </w:t>
            </w:r>
          </w:p>
        </w:tc>
      </w:tr>
      <w:tr w:rsidR="009F557E" w:rsidRPr="009F557E" w14:paraId="6884412E" w14:textId="77777777" w:rsidTr="009F557E">
        <w:tc>
          <w:tcPr>
            <w:tcW w:w="4480" w:type="dxa"/>
            <w:shd w:val="clear" w:color="auto" w:fill="auto"/>
          </w:tcPr>
          <w:p w14:paraId="529FF09E" w14:textId="77777777" w:rsidR="009F557E" w:rsidRPr="009F557E" w:rsidRDefault="009F557E" w:rsidP="003011B8">
            <w:pPr>
              <w:pStyle w:val="MDPI42tablebody"/>
              <w:spacing w:line="240" w:lineRule="auto"/>
              <w:jc w:val="left"/>
              <w:rPr>
                <w:rFonts w:ascii="Minion Pro" w:hAnsi="Minion Pro"/>
                <w:bCs/>
              </w:rPr>
            </w:pPr>
            <w:r w:rsidRPr="009F557E">
              <w:rPr>
                <w:rFonts w:ascii="Minion Pro" w:hAnsi="Minion Pro"/>
                <w:bCs/>
              </w:rPr>
              <w:t xml:space="preserve">4. Other Area </w:t>
            </w:r>
          </w:p>
        </w:tc>
        <w:tc>
          <w:tcPr>
            <w:tcW w:w="3377" w:type="dxa"/>
            <w:shd w:val="clear" w:color="auto" w:fill="auto"/>
          </w:tcPr>
          <w:p w14:paraId="5CDEC04D" w14:textId="77777777" w:rsidR="009F557E" w:rsidRPr="009F557E" w:rsidRDefault="009F557E" w:rsidP="003011B8">
            <w:pPr>
              <w:pStyle w:val="MDPI42tablebody"/>
              <w:spacing w:line="240" w:lineRule="auto"/>
              <w:rPr>
                <w:rFonts w:ascii="Minion Pro" w:hAnsi="Minion Pro"/>
                <w:bCs/>
              </w:rPr>
            </w:pPr>
            <w:r w:rsidRPr="009F557E">
              <w:rPr>
                <w:rFonts w:ascii="Minion Pro" w:hAnsi="Minion Pro"/>
                <w:bCs/>
              </w:rPr>
              <w:t xml:space="preserve">2,629,779 </w:t>
            </w:r>
          </w:p>
        </w:tc>
      </w:tr>
      <w:tr w:rsidR="009F557E" w:rsidRPr="00F220D4" w14:paraId="6E073E25" w14:textId="77777777" w:rsidTr="009F557E">
        <w:tc>
          <w:tcPr>
            <w:tcW w:w="4480" w:type="dxa"/>
            <w:shd w:val="clear" w:color="auto" w:fill="auto"/>
            <w:vAlign w:val="center"/>
          </w:tcPr>
          <w:p w14:paraId="34C5818A" w14:textId="77777777" w:rsidR="009F557E" w:rsidRPr="009F557E" w:rsidRDefault="009F557E" w:rsidP="003011B8">
            <w:pPr>
              <w:pStyle w:val="MDPI42tablebody"/>
              <w:spacing w:line="240" w:lineRule="auto"/>
              <w:jc w:val="left"/>
              <w:rPr>
                <w:bCs/>
              </w:rPr>
            </w:pPr>
            <w:r w:rsidRPr="009F557E">
              <w:rPr>
                <w:bCs/>
              </w:rPr>
              <w:t>Total B</w:t>
            </w:r>
          </w:p>
        </w:tc>
        <w:tc>
          <w:tcPr>
            <w:tcW w:w="3377" w:type="dxa"/>
            <w:shd w:val="clear" w:color="auto" w:fill="auto"/>
          </w:tcPr>
          <w:p w14:paraId="18076054" w14:textId="77777777" w:rsidR="009F557E" w:rsidRPr="009F557E" w:rsidRDefault="009F557E" w:rsidP="003011B8">
            <w:pPr>
              <w:pStyle w:val="MDPI42tablebody"/>
              <w:spacing w:line="240" w:lineRule="auto"/>
              <w:rPr>
                <w:bCs/>
              </w:rPr>
            </w:pPr>
            <w:r w:rsidRPr="009F557E">
              <w:rPr>
                <w:bCs/>
              </w:rPr>
              <w:t xml:space="preserve">12,120,330 </w:t>
            </w:r>
          </w:p>
        </w:tc>
      </w:tr>
      <w:tr w:rsidR="009F557E" w:rsidRPr="00F220D4" w14:paraId="10ACA3FB" w14:textId="77777777" w:rsidTr="009F557E">
        <w:tc>
          <w:tcPr>
            <w:tcW w:w="4480" w:type="dxa"/>
            <w:shd w:val="clear" w:color="auto" w:fill="auto"/>
            <w:vAlign w:val="center"/>
          </w:tcPr>
          <w:p w14:paraId="26E80429" w14:textId="77777777" w:rsidR="009F557E" w:rsidRPr="009F557E" w:rsidRDefault="009F557E" w:rsidP="003011B8">
            <w:pPr>
              <w:pStyle w:val="MDPI42tablebody"/>
              <w:spacing w:line="240" w:lineRule="auto"/>
              <w:jc w:val="left"/>
              <w:rPr>
                <w:bCs/>
              </w:rPr>
            </w:pPr>
            <w:r w:rsidRPr="009F557E">
              <w:rPr>
                <w:bCs/>
              </w:rPr>
              <w:t>Total A + B</w:t>
            </w:r>
          </w:p>
        </w:tc>
        <w:tc>
          <w:tcPr>
            <w:tcW w:w="3377" w:type="dxa"/>
            <w:shd w:val="clear" w:color="auto" w:fill="auto"/>
            <w:vAlign w:val="center"/>
          </w:tcPr>
          <w:p w14:paraId="2DF44FF8" w14:textId="77777777" w:rsidR="009F557E" w:rsidRPr="009F557E" w:rsidRDefault="009F557E" w:rsidP="003011B8">
            <w:pPr>
              <w:pStyle w:val="MDPI42tablebody"/>
              <w:spacing w:line="240" w:lineRule="auto"/>
              <w:rPr>
                <w:bCs/>
              </w:rPr>
            </w:pPr>
            <w:r w:rsidRPr="009F557E">
              <w:rPr>
                <w:bCs/>
              </w:rPr>
              <w:t>15,750,472</w:t>
            </w:r>
          </w:p>
        </w:tc>
      </w:tr>
    </w:tbl>
    <w:p w14:paraId="4A1B8137" w14:textId="77777777" w:rsidR="009F557E" w:rsidRPr="000F4415" w:rsidRDefault="009F557E" w:rsidP="009F557E">
      <w:pPr>
        <w:pStyle w:val="MDPI31text"/>
        <w:ind w:firstLine="0"/>
        <w:rPr>
          <w:sz w:val="18"/>
          <w:szCs w:val="20"/>
        </w:rPr>
      </w:pPr>
    </w:p>
    <w:p w14:paraId="2422E28A" w14:textId="14429357" w:rsidR="008B7539" w:rsidRPr="008B7539" w:rsidRDefault="008B7539" w:rsidP="008B7539">
      <w:pPr>
        <w:spacing w:after="0" w:line="360" w:lineRule="auto"/>
        <w:jc w:val="both"/>
        <w:rPr>
          <w:rFonts w:ascii="Minion Pro" w:hAnsi="Minion Pro" w:cs="Times New Roman"/>
          <w:color w:val="4472C4"/>
          <w:sz w:val="24"/>
          <w:szCs w:val="24"/>
        </w:rPr>
      </w:pPr>
      <w:r w:rsidRPr="008B7539">
        <w:rPr>
          <w:rFonts w:ascii="Minion Pro" w:hAnsi="Minion Pro" w:cs="Times New Roman"/>
          <w:color w:val="4472C4"/>
          <w:sz w:val="24"/>
          <w:szCs w:val="24"/>
        </w:rPr>
        <w:t>Data and Analysis</w:t>
      </w:r>
    </w:p>
    <w:p w14:paraId="4D441D58" w14:textId="60F31A5F" w:rsidR="009F557E" w:rsidRPr="009F557E" w:rsidRDefault="009F557E" w:rsidP="009F557E">
      <w:pPr>
        <w:pStyle w:val="MDPI31text"/>
        <w:spacing w:line="360" w:lineRule="auto"/>
        <w:ind w:left="0" w:firstLine="720"/>
        <w:rPr>
          <w:rFonts w:ascii="Minion Pro" w:hAnsi="Minion Pro"/>
          <w:szCs w:val="20"/>
        </w:rPr>
      </w:pPr>
      <w:r w:rsidRPr="009F557E">
        <w:rPr>
          <w:rFonts w:ascii="Minion Pro" w:hAnsi="Minion Pro"/>
          <w:szCs w:val="20"/>
        </w:rPr>
        <w:t>We used land cover maps issued by Ministry of Forestry and Environment (MoFE) Republic of Indonesia. The period time of deforestation analysis followed procedure of the 2</w:t>
      </w:r>
      <w:r w:rsidRPr="009F557E">
        <w:rPr>
          <w:rFonts w:ascii="Minion Pro" w:hAnsi="Minion Pro"/>
          <w:szCs w:val="20"/>
          <w:vertAlign w:val="superscript"/>
        </w:rPr>
        <w:t>nd</w:t>
      </w:r>
      <w:r w:rsidRPr="009F557E">
        <w:rPr>
          <w:rFonts w:ascii="Minion Pro" w:hAnsi="Minion Pro"/>
          <w:szCs w:val="20"/>
        </w:rPr>
        <w:t xml:space="preserve"> FRL of Indonesia, which are 2006 – 2020 </w:t>
      </w:r>
      <w:r w:rsidRPr="009F557E">
        <w:rPr>
          <w:rFonts w:ascii="Minion Pro" w:hAnsi="Minion Pro"/>
          <w:szCs w:val="20"/>
        </w:rPr>
        <w:fldChar w:fldCharType="begin" w:fldLock="1"/>
      </w:r>
      <w:r w:rsidR="00147C11">
        <w:rPr>
          <w:rFonts w:ascii="Minion Pro" w:hAnsi="Minion Pro"/>
          <w:szCs w:val="20"/>
        </w:rPr>
        <w:instrText>ADDIN CSL_CITATION {"citationItems":[{"id":"ITEM-1","itemData":{"abstract":"• Indonesia’s 2-year moratorium on new concessions in primary natural forest and peatland areas is an important step towards meeting its voluntary commitment to reduce emissions. However, several issues are unresolved concerning the area and status of land covered by the moratorium, and hence the amount of carbon stored in the affected forests and peatlands. • The additional area given protection under the moratorium is at most 22.5 million hectares (Mha), which consists of 7.2 Mha of primary forests, 11.2 Mha of peatlands and 4.1 Mha that fall into neither of these categories. • The failure to include secondary forests and logged-over forests in the moratorium represents a lost opportunity to protect, at least temporarily, a fraction of 46.7 Mha of forests rich in carbon and biodiversity. • The moratorium’s application to peatlands is likely to generate the most significant environmental benefits because of their large carbon storage capacity. However, as governance is relatively weak, concerted efforts will be necessary to capture those benefits. • The moratorium’s exceptions for activities related to food and energy security create loopholes that could undermine the suspension of new concession licences. The potential for environmentally sound and economically viable land swaps should be explored before such exceptions are approved. • A continually updated Indicative Moratorium Map (IMM) will be an important tool for public scrutiny and a mechanism to further secure and possibly increase the area covered by the moratorium. As part of this process, existing licences should be reviewed for compliance with current laws and regulations.","author":[{"dropping-particle":"","family":"Murdiyarso","given":"Daniel","non-dropping-particle":"","parse-names":false,"suffix":""},{"dropping-particle":"","family":"Dewi","given":"Sonya","non-dropping-particle":"","parse-names":false,"suffix":""},{"dropping-particle":"","family":"Lawrence","given":"Deborah","non-dropping-particle":"","parse-names":false,"suffix":""},{"dropping-particle":"","family":"Seymour","given":"Frances","non-dropping-particle":"","parse-names":false,"suffix":""}],"container-title":"Working Paper","id":"ITEM-1","issued":{"date-parts":[["2011"]]},"title":"Indonesia's Forest Moratorium: A Stepping Stone to Better Forest Governance?","type":"report"},"uris":["http://www.mendeley.com/documents/?uuid=5b05e061-6a35-38db-874c-b1c723b0e287"]}],"mendeley":{"formattedCitation":"(Murdiyarso et al., 2011)","plainTextFormattedCitation":"(Murdiyarso et al., 2011)","previouslyFormattedCitation":"(Murdiyarso, Dewi, Lawrence, &amp; Seymour, 2011)"},"properties":{"noteIndex":0},"schema":"https://github.com/citation-style-language/schema/raw/master/csl-citation.json"}</w:instrText>
      </w:r>
      <w:r w:rsidRPr="009F557E">
        <w:rPr>
          <w:rFonts w:ascii="Minion Pro" w:hAnsi="Minion Pro"/>
          <w:szCs w:val="20"/>
        </w:rPr>
        <w:fldChar w:fldCharType="separate"/>
      </w:r>
      <w:r w:rsidR="00147C11" w:rsidRPr="00147C11">
        <w:rPr>
          <w:rFonts w:ascii="Minion Pro" w:hAnsi="Minion Pro"/>
          <w:noProof/>
          <w:szCs w:val="20"/>
        </w:rPr>
        <w:t>(Murdiyarso et al., 2011)</w:t>
      </w:r>
      <w:r w:rsidRPr="009F557E">
        <w:rPr>
          <w:rFonts w:ascii="Minion Pro" w:hAnsi="Minion Pro"/>
          <w:szCs w:val="20"/>
        </w:rPr>
        <w:fldChar w:fldCharType="end"/>
      </w:r>
      <w:r w:rsidRPr="009F557E">
        <w:rPr>
          <w:rFonts w:ascii="Minion Pro" w:hAnsi="Minion Pro"/>
          <w:szCs w:val="20"/>
        </w:rPr>
        <w:t>. However, the Ministry of Environmental and Forestry (</w:t>
      </w:r>
      <w:proofErr w:type="spellStart"/>
      <w:r w:rsidRPr="009F557E">
        <w:rPr>
          <w:rFonts w:ascii="Minion Pro" w:hAnsi="Minion Pro"/>
          <w:szCs w:val="20"/>
        </w:rPr>
        <w:t>MoEF</w:t>
      </w:r>
      <w:proofErr w:type="spellEnd"/>
      <w:r w:rsidRPr="009F557E">
        <w:rPr>
          <w:rFonts w:ascii="Minion Pro" w:hAnsi="Minion Pro"/>
          <w:szCs w:val="20"/>
        </w:rPr>
        <w:t xml:space="preserve">) did not publish land cover maps of 2007, 2008 and 2010. </w:t>
      </w:r>
    </w:p>
    <w:p w14:paraId="4926991A" w14:textId="40F19A75" w:rsidR="009F557E" w:rsidRPr="009F557E" w:rsidRDefault="009F557E" w:rsidP="009F557E">
      <w:pPr>
        <w:pStyle w:val="MDPI31text"/>
        <w:spacing w:line="360" w:lineRule="auto"/>
        <w:ind w:left="0" w:firstLine="720"/>
        <w:rPr>
          <w:rFonts w:ascii="Minion Pro" w:hAnsi="Minion Pro"/>
          <w:szCs w:val="20"/>
        </w:rPr>
      </w:pPr>
      <w:proofErr w:type="spellStart"/>
      <w:r w:rsidRPr="009F557E">
        <w:rPr>
          <w:rFonts w:ascii="Minion Pro" w:hAnsi="Minion Pro"/>
          <w:szCs w:val="20"/>
        </w:rPr>
        <w:t>MoEF</w:t>
      </w:r>
      <w:proofErr w:type="spellEnd"/>
      <w:r w:rsidRPr="009F557E">
        <w:rPr>
          <w:rFonts w:ascii="Minion Pro" w:hAnsi="Minion Pro"/>
          <w:szCs w:val="20"/>
        </w:rPr>
        <w:t xml:space="preserve"> classified natural forest land cover into 6 classes: primary dryland forest, secondary dry land forest, primary swamp forest, secondary swamp forest, primary mangrove forest and secondary mangrove forest. Meanwhile non-natural forest cover classified into 15 classes: plantation forest, pure dry agriculture, mixed dry agriculture, dry shrub, wet shrub, savanna and grasses, paddy field, open swamp, fishpond/aquaculture, transmigration areas, settlement areas, port and harbor, mining areas, bare ground, and open water </w:t>
      </w:r>
      <w:r w:rsidRPr="009F557E">
        <w:rPr>
          <w:rFonts w:ascii="Minion Pro" w:hAnsi="Minion Pro"/>
          <w:szCs w:val="20"/>
        </w:rPr>
        <w:fldChar w:fldCharType="begin" w:fldLock="1"/>
      </w:r>
      <w:r w:rsidR="00147C11">
        <w:rPr>
          <w:rFonts w:ascii="Minion Pro" w:hAnsi="Minion Pro"/>
          <w:szCs w:val="20"/>
        </w:rPr>
        <w:instrText>ADDIN CSL_CITATION {"citationItems":[{"id":"ITEM-1","itemData":{"DOI":"10.1038/nclimate2277","ISSN":"17586798","abstract":"Extensive clearing of Indonesian primary forests results in increased greenhouse gas emissions and biodiversity loss. However, there is no consensus on the areal extent and temporal trends of primary forest clearing in Indonesia. Here we report a spatially and temporally explicit quantification of Indonesian primary forest loss, which totalled over 6.02 Mha from 2000 to 2012 and increased on average by 47,600 ha per year. By 2012, annual primary forest loss in Indonesia was estimated to be higher than in Brazil (0.84 Mha and 0.46 Mha, respectively). Proportional loss of primary forests in wetland landforms increased and almost all clearing of primary forests occurred within degraded types, meaning logging preceded conversion processes. Loss within official forest land uses that restrict or prohibit clearing totalled 40% of all loss within national forest land. The increasing loss of Indonesian primary forests has significant implications for climate change mitigation and biodiversity conservation efforts. © 2014 Macmillan Publishers Limited. All rights reserved.","author":[{"dropping-particle":"","family":"Margono","given":"Belinda Arunarwati","non-dropping-particle":"","parse-names":false,"suffix":""},{"dropping-particle":"V.","family":"Potapov","given":"Peter","non-dropping-particle":"","parse-names":false,"suffix":""},{"dropping-particle":"","family":"Turubanova","given":"Svetlana","non-dropping-particle":"","parse-names":false,"suffix":""},{"dropping-particle":"","family":"Stolle","given":"Fred","non-dropping-particle":"","parse-names":false,"suffix":""},{"dropping-particle":"","family":"Hansen","given":"Matthew C.","non-dropping-particle":"","parse-names":false,"suffix":""}],"container-title":"Nature Climate Change","id":"ITEM-1","issue":"8","issued":{"date-parts":[["2014"]]},"title":"Primary forest cover loss in indonesia over 2000-2012","type":"article","volume":"4"},"uris":["http://www.mendeley.com/documents/?uuid=127bc5d0-b2c7-3bfe-b262-cba07df8102d"]}],"mendeley":{"formattedCitation":"(Margono et al., 2014)","plainTextFormattedCitation":"(Margono et al., 2014)","previouslyFormattedCitation":"(Margono, Potapov, Turubanova, Stolle, &amp; Hansen, 2014)"},"properties":{"noteIndex":0},"schema":"https://github.com/citation-style-language/schema/raw/master/csl-citation.json"}</w:instrText>
      </w:r>
      <w:r w:rsidRPr="009F557E">
        <w:rPr>
          <w:rFonts w:ascii="Minion Pro" w:hAnsi="Minion Pro"/>
          <w:szCs w:val="20"/>
        </w:rPr>
        <w:fldChar w:fldCharType="separate"/>
      </w:r>
      <w:r w:rsidR="00147C11" w:rsidRPr="00147C11">
        <w:rPr>
          <w:rFonts w:ascii="Minion Pro" w:hAnsi="Minion Pro"/>
          <w:noProof/>
          <w:szCs w:val="20"/>
        </w:rPr>
        <w:t>(Margono et al., 2014)</w:t>
      </w:r>
      <w:r w:rsidRPr="009F557E">
        <w:rPr>
          <w:rFonts w:ascii="Minion Pro" w:hAnsi="Minion Pro"/>
          <w:szCs w:val="20"/>
        </w:rPr>
        <w:fldChar w:fldCharType="end"/>
      </w:r>
      <w:r w:rsidRPr="009F557E">
        <w:rPr>
          <w:rFonts w:ascii="Minion Pro" w:hAnsi="Minion Pro"/>
          <w:szCs w:val="20"/>
        </w:rPr>
        <w:t xml:space="preserve">. </w:t>
      </w:r>
    </w:p>
    <w:p w14:paraId="68CC5601" w14:textId="63E277E2" w:rsidR="009F557E" w:rsidRPr="009F557E" w:rsidRDefault="009F557E" w:rsidP="009F557E">
      <w:pPr>
        <w:pStyle w:val="MDPI31text"/>
        <w:spacing w:line="360" w:lineRule="auto"/>
        <w:ind w:left="0" w:firstLine="720"/>
        <w:rPr>
          <w:rFonts w:ascii="Minion Pro" w:hAnsi="Minion Pro"/>
          <w:color w:val="auto"/>
          <w:szCs w:val="20"/>
        </w:rPr>
      </w:pPr>
      <w:r w:rsidRPr="009F557E">
        <w:rPr>
          <w:rFonts w:ascii="Minion Pro" w:hAnsi="Minion Pro"/>
          <w:szCs w:val="20"/>
        </w:rPr>
        <w:t xml:space="preserve">We calculated deforestation in each year by overlaying the landcover map of the previous year (T0) with the landcover map of following year (T1). Using ArcGIS version 10.2, we measured the conversion from natural forest category into non-natural forest category. We also identified the land cover post deforestation to tract the cause of deforestation.  The interpretation of the Landsat LDCM (Landsat Data Continuity Mission) data served as the basis for the </w:t>
      </w:r>
      <w:r w:rsidRPr="009F557E">
        <w:rPr>
          <w:rFonts w:ascii="Minion Pro" w:hAnsi="Minion Pro"/>
          <w:color w:val="auto"/>
          <w:szCs w:val="20"/>
        </w:rPr>
        <w:t xml:space="preserve">estimation of the deforestation rate for the years 2006 – 2020 </w:t>
      </w:r>
      <w:r w:rsidRPr="009F557E">
        <w:rPr>
          <w:rFonts w:ascii="Minion Pro" w:hAnsi="Minion Pro"/>
          <w:color w:val="auto"/>
          <w:szCs w:val="20"/>
        </w:rPr>
        <w:fldChar w:fldCharType="begin" w:fldLock="1"/>
      </w:r>
      <w:r w:rsidR="00147C11">
        <w:rPr>
          <w:rFonts w:ascii="Minion Pro" w:hAnsi="Minion Pro"/>
          <w:color w:val="auto"/>
          <w:szCs w:val="20"/>
        </w:rPr>
        <w:instrText>ADDIN CSL_CITATION {"citationItems":[{"id":"ITEM-1","itemData":{"DOI":"10.13189/eer.2022.100403","ISSN":"23316268","abstract":"Purpose: This study attempts to analyze the reconstruction of law enforcement on illegal logging based on community participation and the values embodied in Pancasila as a national philosophy in Indonesia. Methodologies: This study was conducted using a normative empirical method, by employing data-driven approaches. Principal results: The results revealed that combating deforestation and illegal logging can be achieved by participatory measures with the implementation in the grassroots through community participation being taken as an important consideration to instill the principles of sustainable forest management. To obtain optimal and equitable benefits of forest resources, local community empowerment is carried out, through capacity building and providing access in order to improve their welfare. Major conclusions: The prevention and eradication of deforestation should pay attention to the principles of sustainable forest management by the government and regulatory agencies with involving grassroot level to obtain sustainable and optimal benefits of forest management. Contribution to the field: This study contributes to the intertwined relationship between law enforcement in developing forest management and social participation through a series of mechanisms and practices based on local wisdom. Important aspect of the study: The findings highlight social forestry as a sustainable forest management practice in balancing natural sustainability and social justice as law enforcement priorities. Research limitations/implications: The theoretical scope is specific to the idea of natural sustainability in the context of social justice. This has theoretical implications for further studies to provide empirical and practical justification for the implementation of social forestry in Indonesia. Practical implications: The findings practically underline the need for social forestry activities through efforts to provide legal access to local communities in the forms of forest management, business permits, plantation, partnerships, recognition and protection and customary law for community welfare and forest resource conservation. Social implications: The principles and practices of community involvement in social forestry are required to reduce poverty, unemployment and inequality in the management/utilization of forest areas.","author":[{"dropping-particle":"","family":"Ardiyanto","given":"Syaifullah Yophi","non-dropping-particle":"","parse-names":false,"suffix":""},{"dropping-particle":"","family":"Saraswati","given":"Retno","non-dropping-particle":"","parse-names":false,"suffix":""},{"dropping-particle":"","family":"Soponyono","given":"Eko","non-dropping-particle":"","parse-names":false,"suffix":""}],"container-title":"Environment and Ecology Research","id":"ITEM-1","issue":"4","issued":{"date-parts":[["2022"]]},"page":"450-460","title":"Law Enforcement and Community Participation in Combating Illegal Logging and Deforestation in Indonesia","type":"article-journal","volume":"10"},"uris":["http://www.mendeley.com/documents/?uuid=3b8c7957-4b44-482e-a6f0-0f4cf978f291"]}],"mendeley":{"formattedCitation":"(Ardiyanto et al., 2022)","plainTextFormattedCitation":"(Ardiyanto et al., 2022)","previouslyFormattedCitation":"(Ardiyanto, Saraswati, &amp; Soponyono, 2022)"},"properties":{"noteIndex":0},"schema":"https://github.com/citation-style-language/schema/raw/master/csl-citation.json"}</w:instrText>
      </w:r>
      <w:r w:rsidRPr="009F557E">
        <w:rPr>
          <w:rFonts w:ascii="Minion Pro" w:hAnsi="Minion Pro"/>
          <w:color w:val="auto"/>
          <w:szCs w:val="20"/>
        </w:rPr>
        <w:fldChar w:fldCharType="separate"/>
      </w:r>
      <w:r w:rsidR="00147C11" w:rsidRPr="00147C11">
        <w:rPr>
          <w:rFonts w:ascii="Minion Pro" w:hAnsi="Minion Pro"/>
          <w:noProof/>
          <w:color w:val="auto"/>
          <w:szCs w:val="20"/>
        </w:rPr>
        <w:t>(Ardiyanto et al., 2022)</w:t>
      </w:r>
      <w:r w:rsidRPr="009F557E">
        <w:rPr>
          <w:rFonts w:ascii="Minion Pro" w:hAnsi="Minion Pro"/>
          <w:color w:val="auto"/>
          <w:szCs w:val="20"/>
        </w:rPr>
        <w:fldChar w:fldCharType="end"/>
      </w:r>
      <w:r w:rsidRPr="009F557E">
        <w:rPr>
          <w:rFonts w:ascii="Minion Pro" w:hAnsi="Minion Pro"/>
          <w:color w:val="auto"/>
          <w:szCs w:val="20"/>
        </w:rPr>
        <w:t xml:space="preserve">. </w:t>
      </w:r>
    </w:p>
    <w:p w14:paraId="7309C6BC" w14:textId="22DBA42C" w:rsidR="008512EA" w:rsidRDefault="009F557E" w:rsidP="008512EA">
      <w:pPr>
        <w:pStyle w:val="MDPI31text"/>
        <w:spacing w:line="360" w:lineRule="auto"/>
        <w:ind w:left="0" w:firstLine="720"/>
        <w:rPr>
          <w:rFonts w:ascii="Minion Pro" w:hAnsi="Minion Pro"/>
          <w:color w:val="auto"/>
          <w:szCs w:val="20"/>
        </w:rPr>
      </w:pPr>
      <w:r w:rsidRPr="009F557E">
        <w:rPr>
          <w:rFonts w:ascii="Minion Pro" w:hAnsi="Minion Pro"/>
          <w:color w:val="auto"/>
          <w:szCs w:val="20"/>
        </w:rPr>
        <w:t xml:space="preserve">Equation of annual forest cover change is used to calculate the annual deforestation rate. It comes from the compound interest rule </w:t>
      </w:r>
      <w:r w:rsidRPr="009F557E">
        <w:rPr>
          <w:rFonts w:ascii="Minion Pro" w:hAnsi="Minion Pro"/>
          <w:color w:val="auto"/>
          <w:szCs w:val="20"/>
        </w:rPr>
        <w:fldChar w:fldCharType="begin" w:fldLock="1"/>
      </w:r>
      <w:r w:rsidR="008512EA">
        <w:rPr>
          <w:rFonts w:ascii="Minion Pro" w:hAnsi="Minion Pro"/>
          <w:color w:val="auto"/>
          <w:szCs w:val="20"/>
        </w:rPr>
        <w:instrText>ADDIN CSL_CITATION {"citationItems":[{"id":"ITEM-1","itemData":{"DOI":"10.1016/j.foreco.2009.01.013","ISSN":"03781127","abstract":"In Rondônia State, Brazil, settlement processes have cleared 68,000 km2 of tropical forests since the 1970s. The intensity of deforestation has differed by region depending on driving factors like roads and economic activities. Different histories of land-use activities and rates of change have resulted in mosaics of forest patches embedded in an agricultural matrix. Yet, most assessments of deforestation and its effects on vegetation, soil and water typically focus on landscape patterns of current conditions, yet historical deforestation dynamics can influence current conditions strongly. Here, we develop and describe the use of four land-use dynamic indicators to capture historical land-use changes of catchments and to measure the rate of deforestation (annual deforestation rate), forest regeneration level (secondary forest mean proportion), time since disturbance (mean time since deforestation) and deforestation profile (deforestation profile curvature). We used the proposed indices to analyze a watershed located in central Rondônia. Landsat TM and ETM+ images were used to produce historical land-use maps of the last 18 years, each even year from 1984 to 2002 for 20 catchments. We found that the land-use dynamics indicators are able to distinguish catchments with different land-use change profiles. Four categories of historical land-use were identified: old and dominant pasture cover on small properties, recent deforestation and dominance of secondary growth, old extensive pastures and large forest remnants and, recent deforestation, pasture and large forest remnants. Knowing historical deforestation processes is important to develop appropriate conservation strategies and define priorities and actions for conserving forests currently under deforestation. © 2009 Elsevier B.V. All rights reserved.","author":[{"dropping-particle":"","family":"Ferraz","given":"Silvio Frosini de Barros","non-dropping-particle":"","parse-names":false,"suffix":""},{"dropping-particle":"","family":"Vettorazzi","given":"Carlos Alberto","non-dropping-particle":"","parse-names":false,"suffix":""},{"dropping-particle":"","family":"Theobald","given":"David M.","non-dropping-particle":"","parse-names":false,"suffix":""}],"container-title":"Forest Ecology and Management","id":"ITEM-1","issue":"7","issued":{"date-parts":[["2009"]]},"page":"1586-1595","title":"Using indicators of deforestation and land-use dynamics to support conservation strategies: A case study of central Rondônia, Brazil","type":"article-journal","volume":"257"},"uris":["http://www.mendeley.com/documents/?uuid=a7420e6e-a0d6-4803-b926-cc79874dd141"]},{"id":"ITEM-2","itemData":{"DOI":"10.1016/S0378-1127(02)00335-3","ISSN":"03781127","abstract":"Different authors utilize different formulae to calculate the annual rate of change of forest cover (or its opposite, the annual rate of deforestation) and use different terms to describe it. This generates confusion. I suggest that the annual rate of change of forest cover should be calculated as: r = (1/(t2 - t1)) x ln(A2/A1). This formula is derived from the Compound Interest Law. It is also derived from the mean annual rate of change and for this reason, is more intuitive than the formula used by FAO [q = ((A2/A1)1/(t2-t1)) - 1]. The rate r is always higher than q, but in most cases, the difference between the two quantities is lower than the sampling error. The rate r is significantly higher than q only when deforestation is extremely high. To ease comparisons between sites of annual rates of forest change, the forest area, time of measurements and formulae used should be clearly indicated. © 2002 Elsevier Science B.V. All rights reserved.","author":[{"dropping-particle":"","family":"Puyravaud","given":"Jean Philippe","non-dropping-particle":"","parse-names":false,"suffix":""}],"container-title":"Forest Ecology and Management","id":"ITEM-2","issue":"1-3","issued":{"date-parts":[["2003"]]},"page":"593-596","title":"Standardizing the calculation of the annual rate of deforestation","type":"article-journal","volume":"177"},"uris":["http://www.mendeley.com/documents/?uuid=f08cf7ea-5d3d-467b-9353-d86e3e8b9f08"]}],"mendeley":{"formattedCitation":"(Ferraz et al., 2009; Puyravaud, 2003)","plainTextFormattedCitation":"(Ferraz et al., 2009; Puyravaud, 2003)","previouslyFormattedCitation":"(Ferraz et al., 2009; Puyravaud, 2003)"},"properties":{"noteIndex":0},"schema":"https://github.com/citation-style-language/schema/raw/master/csl-citation.json"}</w:instrText>
      </w:r>
      <w:r w:rsidRPr="009F557E">
        <w:rPr>
          <w:rFonts w:ascii="Minion Pro" w:hAnsi="Minion Pro"/>
          <w:color w:val="auto"/>
          <w:szCs w:val="20"/>
        </w:rPr>
        <w:fldChar w:fldCharType="separate"/>
      </w:r>
      <w:r w:rsidR="008512EA" w:rsidRPr="008512EA">
        <w:rPr>
          <w:rFonts w:ascii="Minion Pro" w:hAnsi="Minion Pro"/>
          <w:noProof/>
          <w:color w:val="auto"/>
          <w:szCs w:val="20"/>
        </w:rPr>
        <w:t>(Ferraz et al., 2009; Puyravaud, 2003)</w:t>
      </w:r>
      <w:r w:rsidRPr="009F557E">
        <w:rPr>
          <w:rFonts w:ascii="Minion Pro" w:hAnsi="Minion Pro"/>
          <w:color w:val="auto"/>
          <w:szCs w:val="20"/>
        </w:rPr>
        <w:fldChar w:fldCharType="end"/>
      </w:r>
      <w:r w:rsidRPr="009F557E">
        <w:rPr>
          <w:rFonts w:ascii="Minion Pro" w:hAnsi="Minion Pro"/>
          <w:color w:val="auto"/>
          <w:szCs w:val="20"/>
        </w:rPr>
        <w:t xml:space="preserve">. Annual deforestation rate (r) is recommended because it is more intuitive than previous formula used by FAO (q) </w:t>
      </w:r>
      <w:r w:rsidRPr="009F557E">
        <w:rPr>
          <w:rFonts w:ascii="Minion Pro" w:hAnsi="Minion Pro"/>
          <w:color w:val="auto"/>
          <w:szCs w:val="20"/>
        </w:rPr>
        <w:fldChar w:fldCharType="begin" w:fldLock="1"/>
      </w:r>
      <w:r w:rsidR="008512EA">
        <w:rPr>
          <w:rFonts w:ascii="Minion Pro" w:hAnsi="Minion Pro"/>
          <w:color w:val="auto"/>
          <w:szCs w:val="20"/>
        </w:rPr>
        <w:instrText>ADDIN CSL_CITATION {"citationItems":[{"id":"ITEM-1","itemData":{"DOI":"10.1016/S0378-1127(02)00335-3","ISSN":"03781127","abstract":"Different authors utilize different formulae to calculate the annual rate of change of forest cover (or its opposite, the annual rate of deforestation) and use different terms to describe it. This generates confusion. I suggest that the annual rate of change of forest cover should be calculated as: r = (1/(t2 - t1)) x ln(A2/A1). This formula is derived from the Compound Interest Law. It is also derived from the mean annual rate of change and for this reason, is more intuitive than the formula used by FAO [q = ((A2/A1)1/(t2-t1)) - 1]. The rate r is always higher than q, but in most cases, the difference between the two quantities is lower than the sampling error. The rate r is significantly higher than q only when deforestation is extremely high. To ease comparisons between sites of annual rates of forest change, the forest area, time of measurements and formulae used should be clearly indicated. © 2002 Elsevier Science B.V. All rights reserved.","author":[{"dropping-particle":"","family":"Puyravaud","given":"Jean Philippe","non-dropping-particle":"","parse-names":false,"suffix":""}],"container-title":"Forest Ecology and Management","id":"ITEM-1","issue":"1-3","issued":{"date-parts":[["2003"]]},"page":"593-596","title":"Standardizing the calculation of the annual rate of deforestation","type":"article-journal","volume":"177"},"uris":["http://www.mendeley.com/documents/?uuid=f08cf7ea-5d3d-467b-9353-d86e3e8b9f08"]}],"mendeley":{"formattedCitation":"(Puyravaud, 2003)","plainTextFormattedCitation":"(Puyravaud, 2003)","previouslyFormattedCitation":"(Puyravaud, 2003)"},"properties":{"noteIndex":0},"schema":"https://github.com/citation-style-language/schema/raw/master/csl-citation.json"}</w:instrText>
      </w:r>
      <w:r w:rsidRPr="009F557E">
        <w:rPr>
          <w:rFonts w:ascii="Minion Pro" w:hAnsi="Minion Pro"/>
          <w:color w:val="auto"/>
          <w:szCs w:val="20"/>
        </w:rPr>
        <w:fldChar w:fldCharType="separate"/>
      </w:r>
      <w:r w:rsidR="008512EA" w:rsidRPr="008512EA">
        <w:rPr>
          <w:rFonts w:ascii="Minion Pro" w:hAnsi="Minion Pro"/>
          <w:noProof/>
          <w:color w:val="auto"/>
          <w:szCs w:val="20"/>
        </w:rPr>
        <w:t>(Puyravaud, 2003)</w:t>
      </w:r>
      <w:r w:rsidRPr="009F557E">
        <w:rPr>
          <w:rFonts w:ascii="Minion Pro" w:hAnsi="Minion Pro"/>
          <w:color w:val="auto"/>
          <w:szCs w:val="20"/>
        </w:rPr>
        <w:fldChar w:fldCharType="end"/>
      </w:r>
      <w:r w:rsidRPr="009F557E">
        <w:rPr>
          <w:rFonts w:ascii="Minion Pro" w:hAnsi="Minion Pro"/>
          <w:color w:val="auto"/>
          <w:szCs w:val="20"/>
        </w:rPr>
        <w:t xml:space="preserve">. R </w:t>
      </w:r>
      <w:r w:rsidRPr="008B7539">
        <w:rPr>
          <w:rFonts w:ascii="Minion Pro" w:hAnsi="Minion Pro"/>
          <w:color w:val="auto"/>
          <w:szCs w:val="20"/>
        </w:rPr>
        <w:t xml:space="preserve">value is always higher than q. In many cases, the difference in the two formulas is lower than it of sampling error. Rate of forest cover change yearly (r, %/year) is calculated based on forest cover initial (A1, ha) in early period (T1, year) and extensive forest cover end (A2, ha) in final period (T2, year). It is formulated as follows </w:t>
      </w:r>
      <w:r w:rsidRPr="008B7539">
        <w:rPr>
          <w:rFonts w:ascii="Minion Pro" w:hAnsi="Minion Pro"/>
          <w:color w:val="auto"/>
          <w:szCs w:val="20"/>
        </w:rPr>
        <w:fldChar w:fldCharType="begin" w:fldLock="1"/>
      </w:r>
      <w:r w:rsidR="008512EA">
        <w:rPr>
          <w:rFonts w:ascii="Minion Pro" w:hAnsi="Minion Pro"/>
          <w:color w:val="auto"/>
          <w:szCs w:val="20"/>
        </w:rPr>
        <w:instrText>ADDIN CSL_CITATION {"citationItems":[{"id":"ITEM-1","itemData":{"DOI":"10.1016/S0378-1127(02)00335-3","ISSN":"03781127","abstract":"Different authors utilize different formulae to calculate the annual rate of change of forest cover (or its opposite, the annual rate of deforestation) and use different terms to describe it. This generates confusion. I suggest that the annual rate of change of forest cover should be calculated as: r = (1/(t2 - t1)) x ln(A2/A1). This formula is derived from the Compound Interest Law. It is also derived from the mean annual rate of change and for this reason, is more intuitive than the formula used by FAO [q = ((A2/A1)1/(t2-t1)) - 1]. The rate r is always higher than q, but in most cases, the difference between the two quantities is lower than the sampling error. The rate r is significantly higher than q only when deforestation is extremely high. To ease comparisons between sites of annual rates of forest change, the forest area, time of measurements and formulae used should be clearly indicated. © 2002 Elsevier Science B.V. All rights reserved.","author":[{"dropping-particle":"","family":"Puyravaud","given":"Jean Philippe","non-dropping-particle":"","parse-names":false,"suffix":""}],"container-title":"Forest Ecology and Management","id":"ITEM-1","issue":"1-3","issued":{"date-parts":[["2003"]]},"page":"593-596","title":"Standardizing the calculation of the annual rate of deforestation","type":"article-journal","volume":"177"},"uris":["http://www.mendeley.com/documents/?uuid=f08cf7ea-5d3d-467b-9353-d86e3e8b9f08"]}],"mendeley":{"formattedCitation":"(Puyravaud, 2003)","plainTextFormattedCitation":"(Puyravaud, 2003)","previouslyFormattedCitation":"(Puyravaud, 2003)"},"properties":{"noteIndex":0},"schema":"https://github.com/citation-style-language/schema/raw/master/csl-citation.json"}</w:instrText>
      </w:r>
      <w:r w:rsidRPr="008B7539">
        <w:rPr>
          <w:rFonts w:ascii="Minion Pro" w:hAnsi="Minion Pro"/>
          <w:color w:val="auto"/>
          <w:szCs w:val="20"/>
        </w:rPr>
        <w:fldChar w:fldCharType="separate"/>
      </w:r>
      <w:r w:rsidR="008512EA" w:rsidRPr="008512EA">
        <w:rPr>
          <w:rFonts w:ascii="Minion Pro" w:hAnsi="Minion Pro"/>
          <w:noProof/>
          <w:color w:val="auto"/>
          <w:szCs w:val="20"/>
        </w:rPr>
        <w:t>(Puyravaud, 2003)</w:t>
      </w:r>
      <w:r w:rsidRPr="008B7539">
        <w:rPr>
          <w:rFonts w:ascii="Minion Pro" w:hAnsi="Minion Pro"/>
          <w:color w:val="auto"/>
          <w:szCs w:val="20"/>
        </w:rPr>
        <w:fldChar w:fldCharType="end"/>
      </w:r>
      <w:r w:rsidRPr="008B7539">
        <w:rPr>
          <w:rFonts w:ascii="Minion Pro" w:hAnsi="Minion Pro"/>
          <w:color w:val="auto"/>
          <w:szCs w:val="20"/>
        </w:rPr>
        <w:t>:</w:t>
      </w:r>
    </w:p>
    <w:p w14:paraId="207B2136" w14:textId="0DD9AE8B" w:rsidR="008B7539" w:rsidRPr="0006214A" w:rsidRDefault="00C17F29" w:rsidP="008512EA">
      <w:pPr>
        <w:pStyle w:val="MDPI31text"/>
        <w:spacing w:line="360" w:lineRule="auto"/>
        <w:ind w:left="0" w:firstLine="0"/>
        <w:jc w:val="center"/>
        <w:rPr>
          <w:color w:val="auto"/>
        </w:rPr>
      </w:pPr>
      <w:r>
        <w:pict w14:anchorId="52E46ECA">
          <v:shape id="_x0000_i1026" type="#_x0000_t75" style="width:106pt;height:2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defaultTabStop w:val=&quot;720&quot;/&gt;&lt;w:doNotHyphenateCaps/&gt;&lt;w:evenAndOddHeaders/&gt;&lt;w:drawingGridHorizontalSpacing w:val=&quot;110&quot;/&gt;&lt;w:displayHorizontalDrawingGridEvery w:val=&quot;2&quot;/&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0871CD&quot;/&gt;&lt;wsp:rsid wsp:val=&quot;00005014&quot;/&gt;&lt;wsp:rsid wsp:val=&quot;00010C9C&quot;/&gt;&lt;wsp:rsid wsp:val=&quot;00012FCC&quot;/&gt;&lt;wsp:rsid wsp:val=&quot;00017B3A&quot;/&gt;&lt;wsp:rsid wsp:val=&quot;000221A7&quot;/&gt;&lt;wsp:rsid wsp:val=&quot;0002566A&quot;/&gt;&lt;wsp:rsid wsp:val=&quot;00027B09&quot;/&gt;&lt;wsp:rsid wsp:val=&quot;00030D07&quot;/&gt;&lt;wsp:rsid wsp:val=&quot;00033ADD&quot;/&gt;&lt;wsp:rsid wsp:val=&quot;000356A6&quot;/&gt;&lt;wsp:rsid wsp:val=&quot;00040E29&quot;/&gt;&lt;wsp:rsid wsp:val=&quot;000414A2&quot;/&gt;&lt;wsp:rsid wsp:val=&quot;00047B16&quot;/&gt;&lt;wsp:rsid wsp:val=&quot;000513D7&quot;/&gt;&lt;wsp:rsid wsp:val=&quot;00051BD6&quot;/&gt;&lt;wsp:rsid wsp:val=&quot;00056839&quot;/&gt;&lt;wsp:rsid wsp:val=&quot;00062A4D&quot;/&gt;&lt;wsp:rsid wsp:val=&quot;0006768A&quot;/&gt;&lt;wsp:rsid wsp:val=&quot;00071607&quot;/&gt;&lt;wsp:rsid wsp:val=&quot;00075CAA&quot;/&gt;&lt;wsp:rsid wsp:val=&quot;00075EBB&quot;/&gt;&lt;wsp:rsid wsp:val=&quot;00082447&quot;/&gt;&lt;wsp:rsid wsp:val=&quot;000871CD&quot;/&gt;&lt;wsp:rsid wsp:val=&quot;000875A3&quot;/&gt;&lt;wsp:rsid wsp:val=&quot;000A14DB&quot;/&gt;&lt;wsp:rsid wsp:val=&quot;000B30F8&quot;/&gt;&lt;wsp:rsid wsp:val=&quot;000B3527&quot;/&gt;&lt;wsp:rsid wsp:val=&quot;000D0DFB&quot;/&gt;&lt;wsp:rsid wsp:val=&quot;000E0EFD&quot;/&gt;&lt;wsp:rsid wsp:val=&quot;000E0FAB&quot;/&gt;&lt;wsp:rsid wsp:val=&quot;000E41E8&quot;/&gt;&lt;wsp:rsid wsp:val=&quot;000E58C1&quot;/&gt;&lt;wsp:rsid wsp:val=&quot;00101910&quot;/&gt;&lt;wsp:rsid wsp:val=&quot;001114ED&quot;/&gt;&lt;wsp:rsid wsp:val=&quot;00115B73&quot;/&gt;&lt;wsp:rsid wsp:val=&quot;00120E2F&quot;/&gt;&lt;wsp:rsid wsp:val=&quot;00123B7E&quot;/&gt;&lt;wsp:rsid wsp:val=&quot;00126FD7&quot;/&gt;&lt;wsp:rsid wsp:val=&quot;00127AB1&quot;/&gt;&lt;wsp:rsid wsp:val=&quot;0013179C&quot;/&gt;&lt;wsp:rsid wsp:val=&quot;00131DF1&quot;/&gt;&lt;wsp:rsid wsp:val=&quot;0014366B&quot;/&gt;&lt;wsp:rsid wsp:val=&quot;00146868&quot;/&gt;&lt;wsp:rsid wsp:val=&quot;00152925&quot;/&gt;&lt;wsp:rsid wsp:val=&quot;00156700&quot;/&gt;&lt;wsp:rsid wsp:val=&quot;00156CE1&quot;/&gt;&lt;wsp:rsid wsp:val=&quot;001604B8&quot;/&gt;&lt;wsp:rsid wsp:val=&quot;0016240C&quot;/&gt;&lt;wsp:rsid wsp:val=&quot;001644E6&quot;/&gt;&lt;wsp:rsid wsp:val=&quot;00164BEF&quot;/&gt;&lt;wsp:rsid wsp:val=&quot;00167970&quot;/&gt;&lt;wsp:rsid wsp:val=&quot;00167BE2&quot;/&gt;&lt;wsp:rsid wsp:val=&quot;00171344&quot;/&gt;&lt;wsp:rsid wsp:val=&quot;00175A05&quot;/&gt;&lt;wsp:rsid wsp:val=&quot;00177497&quot;/&gt;&lt;wsp:rsid wsp:val=&quot;001839CF&quot;/&gt;&lt;wsp:rsid wsp:val=&quot;00187339&quot;/&gt;&lt;wsp:rsid wsp:val=&quot;001A5BAA&quot;/&gt;&lt;wsp:rsid wsp:val=&quot;001B05C3&quot;/&gt;&lt;wsp:rsid wsp:val=&quot;001B1A60&quot;/&gt;&lt;wsp:rsid wsp:val=&quot;001C0CD3&quot;/&gt;&lt;wsp:rsid wsp:val=&quot;001C1426&quot;/&gt;&lt;wsp:rsid wsp:val=&quot;001C4649&quot;/&gt;&lt;wsp:rsid wsp:val=&quot;001C50EC&quot;/&gt;&lt;wsp:rsid wsp:val=&quot;001D05B6&quot;/&gt;&lt;wsp:rsid wsp:val=&quot;001D4A58&quot;/&gt;&lt;wsp:rsid wsp:val=&quot;001D4D03&quot;/&gt;&lt;wsp:rsid wsp:val=&quot;001E44D5&quot;/&gt;&lt;wsp:rsid wsp:val=&quot;001E5590&quot;/&gt;&lt;wsp:rsid wsp:val=&quot;001F5159&quot;/&gt;&lt;wsp:rsid wsp:val=&quot;001F563A&quot;/&gt;&lt;wsp:rsid wsp:val=&quot;001F5AED&quot;/&gt;&lt;wsp:rsid wsp:val=&quot;00204784&quot;/&gt;&lt;wsp:rsid wsp:val=&quot;002118B1&quot;/&gt;&lt;wsp:rsid wsp:val=&quot;00213C11&quot;/&gt;&lt;wsp:rsid wsp:val=&quot;00221505&quot;/&gt;&lt;wsp:rsid wsp:val=&quot;00221669&quot;/&gt;&lt;wsp:rsid wsp:val=&quot;00222E06&quot;/&gt;&lt;wsp:rsid wsp:val=&quot;002237B2&quot;/&gt;&lt;wsp:rsid wsp:val=&quot;00227836&quot;/&gt;&lt;wsp:rsid wsp:val=&quot;0023119D&quot;/&gt;&lt;wsp:rsid wsp:val=&quot;002330E2&quot;/&gt;&lt;wsp:rsid wsp:val=&quot;00234932&quot;/&gt;&lt;wsp:rsid wsp:val=&quot;00234C1F&quot;/&gt;&lt;wsp:rsid wsp:val=&quot;00235937&quot;/&gt;&lt;wsp:rsid wsp:val=&quot;00237650&quot;/&gt;&lt;wsp:rsid wsp:val=&quot;00240BEE&quot;/&gt;&lt;wsp:rsid wsp:val=&quot;00242487&quot;/&gt;&lt;wsp:rsid wsp:val=&quot;00243EA8&quot;/&gt;&lt;wsp:rsid wsp:val=&quot;0024401C&quot;/&gt;&lt;wsp:rsid wsp:val=&quot;00246AE9&quot;/&gt;&lt;wsp:rsid wsp:val=&quot;0025165B&quot;/&gt;&lt;wsp:rsid wsp:val=&quot;002518A6&quot;/&gt;&lt;wsp:rsid wsp:val=&quot;00253052&quot;/&gt;&lt;wsp:rsid wsp:val=&quot;00254108&quot;/&gt;&lt;wsp:rsid wsp:val=&quot;002643D1&quot;/&gt;&lt;wsp:rsid wsp:val=&quot;00265DDB&quot;/&gt;&lt;wsp:rsid wsp:val=&quot;0027209D&quot;/&gt;&lt;wsp:rsid wsp:val=&quot;00272942&quot;/&gt;&lt;wsp:rsid wsp:val=&quot;00280829&quot;/&gt;&lt;wsp:rsid wsp:val=&quot;0028123F&quot;/&gt;&lt;wsp:rsid wsp:val=&quot;00281374&quot;/&gt;&lt;wsp:rsid wsp:val=&quot;0028270A&quot;/&gt;&lt;wsp:rsid wsp:val=&quot;00290B0B&quot;/&gt;&lt;wsp:rsid wsp:val=&quot;002A46C3&quot;/&gt;&lt;wsp:rsid wsp:val=&quot;002A54BA&quot;/&gt;&lt;wsp:rsid wsp:val=&quot;002A59C7&quot;/&gt;&lt;wsp:rsid wsp:val=&quot;002B7DE6&quot;/&gt;&lt;wsp:rsid wsp:val=&quot;002C021F&quot;/&gt;&lt;wsp:rsid wsp:val=&quot;002C1F36&quot;/&gt;&lt;wsp:rsid wsp:val=&quot;002C48BB&quot;/&gt;&lt;wsp:rsid wsp:val=&quot;002D0833&quot;/&gt;&lt;wsp:rsid wsp:val=&quot;002D3FD8&quot;/&gt;&lt;wsp:rsid wsp:val=&quot;002D5CD8&quot;/&gt;&lt;wsp:rsid wsp:val=&quot;002D670D&quot;/&gt;&lt;wsp:rsid wsp:val=&quot;002D7AE1&quot;/&gt;&lt;wsp:rsid wsp:val=&quot;002E11A2&quot;/&gt;&lt;wsp:rsid wsp:val=&quot;002E142F&quot;/&gt;&lt;wsp:rsid wsp:val=&quot;002E1831&quot;/&gt;&lt;wsp:rsid wsp:val=&quot;002E48D5&quot;/&gt;&lt;wsp:rsid wsp:val=&quot;002F046D&quot;/&gt;&lt;wsp:rsid wsp:val=&quot;002F2AB8&quot;/&gt;&lt;wsp:rsid wsp:val=&quot;00302A11&quot;/&gt;&lt;wsp:rsid wsp:val=&quot;0030365B&quot;/&gt;&lt;wsp:rsid wsp:val=&quot;00310D60&quot;/&gt;&lt;wsp:rsid wsp:val=&quot;0031665B&quot;/&gt;&lt;wsp:rsid wsp:val=&quot;003205F5&quot;/&gt;&lt;wsp:rsid wsp:val=&quot;00323989&quot;/&gt;&lt;wsp:rsid wsp:val=&quot;00325309&quot;/&gt;&lt;wsp:rsid wsp:val=&quot;0032546E&quot;/&gt;&lt;wsp:rsid wsp:val=&quot;00325BE3&quot;/&gt;&lt;wsp:rsid wsp:val=&quot;00326FF2&quot;/&gt;&lt;wsp:rsid wsp:val=&quot;003377B5&quot;/&gt;&lt;wsp:rsid wsp:val=&quot;003445FD&quot;/&gt;&lt;wsp:rsid wsp:val=&quot;003471FA&quot;/&gt;&lt;wsp:rsid wsp:val=&quot;0035080A&quot;/&gt;&lt;wsp:rsid wsp:val=&quot;00351713&quot;/&gt;&lt;wsp:rsid wsp:val=&quot;003541AA&quot;/&gt;&lt;wsp:rsid wsp:val=&quot;00356178&quot;/&gt;&lt;wsp:rsid wsp:val=&quot;00363635&quot;/&gt;&lt;wsp:rsid wsp:val=&quot;0037228A&quot;/&gt;&lt;wsp:rsid wsp:val=&quot;0037592E&quot;/&gt;&lt;wsp:rsid wsp:val=&quot;00384BDB&quot;/&gt;&lt;wsp:rsid wsp:val=&quot;00384BE4&quot;/&gt;&lt;wsp:rsid wsp:val=&quot;00393A4E&quot;/&gt;&lt;wsp:rsid wsp:val=&quot;003B0EB6&quot;/&gt;&lt;wsp:rsid wsp:val=&quot;003B71E1&quot;/&gt;&lt;wsp:rsid wsp:val=&quot;003B75AC&quot;/&gt;&lt;wsp:rsid wsp:val=&quot;003C57FB&quot;/&gt;&lt;wsp:rsid wsp:val=&quot;003C6056&quot;/&gt;&lt;wsp:rsid wsp:val=&quot;003D24CC&quot;/&gt;&lt;wsp:rsid wsp:val=&quot;003E08A6&quot;/&gt;&lt;wsp:rsid wsp:val=&quot;003E2047&quot;/&gt;&lt;wsp:rsid wsp:val=&quot;004009B8&quot;/&gt;&lt;wsp:rsid wsp:val=&quot;0040385B&quot;/&gt;&lt;wsp:rsid wsp:val=&quot;00405C5A&quot;/&gt;&lt;wsp:rsid wsp:val=&quot;00407A0A&quot;/&gt;&lt;wsp:rsid wsp:val=&quot;00416BC8&quot;/&gt;&lt;wsp:rsid wsp:val=&quot;00421FE0&quot;/&gt;&lt;wsp:rsid wsp:val=&quot;004324B4&quot;/&gt;&lt;wsp:rsid wsp:val=&quot;0043302E&quot;/&gt;&lt;wsp:rsid wsp:val=&quot;00435BE3&quot;/&gt;&lt;wsp:rsid wsp:val=&quot;0044224E&quot;/&gt;&lt;wsp:rsid wsp:val=&quot;00447AFA&quot;/&gt;&lt;wsp:rsid wsp:val=&quot;00453779&quot;/&gt;&lt;wsp:rsid wsp:val=&quot;00454EB5&quot;/&gt;&lt;wsp:rsid wsp:val=&quot;00457213&quot;/&gt;&lt;wsp:rsid wsp:val=&quot;00460F39&quot;/&gt;&lt;wsp:rsid wsp:val=&quot;00461047&quot;/&gt;&lt;wsp:rsid wsp:val=&quot;0046439F&quot;/&gt;&lt;wsp:rsid wsp:val=&quot;00464E61&quot;/&gt;&lt;wsp:rsid wsp:val=&quot;004705E9&quot;/&gt;&lt;wsp:rsid wsp:val=&quot;0047144A&quot;/&gt;&lt;wsp:rsid wsp:val=&quot;004733AB&quot;/&gt;&lt;wsp:rsid wsp:val=&quot;00475988&quot;/&gt;&lt;wsp:rsid wsp:val=&quot;00475CED&quot;/&gt;&lt;wsp:rsid wsp:val=&quot;00476386&quot;/&gt;&lt;wsp:rsid wsp:val=&quot;00490483&quot;/&gt;&lt;wsp:rsid wsp:val=&quot;004928FD&quot;/&gt;&lt;wsp:rsid wsp:val=&quot;00493520&quot;/&gt;&lt;wsp:rsid wsp:val=&quot;004A1462&quot;/&gt;&lt;wsp:rsid wsp:val=&quot;004A4216&quot;/&gt;&lt;wsp:rsid wsp:val=&quot;004C22B4&quot;/&gt;&lt;wsp:rsid wsp:val=&quot;004D0271&quot;/&gt;&lt;wsp:rsid wsp:val=&quot;004D1B4E&quot;/&gt;&lt;wsp:rsid wsp:val=&quot;004D7650&quot;/&gt;&lt;wsp:rsid wsp:val=&quot;004E2CC4&quot;/&gt;&lt;wsp:rsid wsp:val=&quot;004E4C7B&quot;/&gt;&lt;wsp:rsid wsp:val=&quot;004F060A&quot;/&gt;&lt;wsp:rsid wsp:val=&quot;004F55BB&quot;/&gt;&lt;wsp:rsid wsp:val=&quot;005073A3&quot;/&gt;&lt;wsp:rsid wsp:val=&quot;005147D2&quot;/&gt;&lt;wsp:rsid wsp:val=&quot;00515728&quot;/&gt;&lt;wsp:rsid wsp:val=&quot;00515F4A&quot;/&gt;&lt;wsp:rsid wsp:val=&quot;005230DE&quot;/&gt;&lt;wsp:rsid wsp:val=&quot;00523636&quot;/&gt;&lt;wsp:rsid wsp:val=&quot;00527B15&quot;/&gt;&lt;wsp:rsid wsp:val=&quot;00545DC6&quot;/&gt;&lt;wsp:rsid wsp:val=&quot;00560F8A&quot;/&gt;&lt;wsp:rsid wsp:val=&quot;00565607&quot;/&gt;&lt;wsp:rsid wsp:val=&quot;00566766&quot;/&gt;&lt;wsp:rsid wsp:val=&quot;00567A3B&quot;/&gt;&lt;wsp:rsid wsp:val=&quot;005718B0&quot;/&gt;&lt;wsp:rsid wsp:val=&quot;00583FF7&quot;/&gt;&lt;wsp:rsid wsp:val=&quot;005849EC&quot;/&gt;&lt;wsp:rsid wsp:val=&quot;00593416&quot;/&gt;&lt;wsp:rsid wsp:val=&quot;00597E5C&quot;/&gt;&lt;wsp:rsid wsp:val=&quot;005A4708&quot;/&gt;&lt;wsp:rsid wsp:val=&quot;005A6649&quot;/&gt;&lt;wsp:rsid wsp:val=&quot;005A72EF&quot;/&gt;&lt;wsp:rsid wsp:val=&quot;005B176F&quot;/&gt;&lt;wsp:rsid wsp:val=&quot;005B2413&quot;/&gt;&lt;wsp:rsid wsp:val=&quot;005B5CE5&quot;/&gt;&lt;wsp:rsid wsp:val=&quot;005C1ACC&quot;/&gt;&lt;wsp:rsid wsp:val=&quot;005D1243&quot;/&gt;&lt;wsp:rsid wsp:val=&quot;005D655A&quot;/&gt;&lt;wsp:rsid wsp:val=&quot;005D7188&quot;/&gt;&lt;wsp:rsid wsp:val=&quot;005E3614&quot;/&gt;&lt;wsp:rsid wsp:val=&quot;005F6E85&quot;/&gt;&lt;wsp:rsid wsp:val=&quot;005F7FD7&quot;/&gt;&lt;wsp:rsid wsp:val=&quot;0060259D&quot;/&gt;&lt;wsp:rsid wsp:val=&quot;00607494&quot;/&gt;&lt;wsp:rsid wsp:val=&quot;006139FC&quot;/&gt;&lt;wsp:rsid wsp:val=&quot;0061619D&quot;/&gt;&lt;wsp:rsid wsp:val=&quot;0062152B&quot;/&gt;&lt;wsp:rsid wsp:val=&quot;00631A6F&quot;/&gt;&lt;wsp:rsid wsp:val=&quot;00633B48&quot;/&gt;&lt;wsp:rsid wsp:val=&quot;006467EB&quot;/&gt;&lt;wsp:rsid wsp:val=&quot;00655934&quot;/&gt;&lt;wsp:rsid wsp:val=&quot;00657A75&quot;/&gt;&lt;wsp:rsid wsp:val=&quot;006615D5&quot;/&gt;&lt;wsp:rsid wsp:val=&quot;00662904&quot;/&gt;&lt;wsp:rsid wsp:val=&quot;0066543F&quot;/&gt;&lt;wsp:rsid wsp:val=&quot;00667C9C&quot;/&gt;&lt;wsp:rsid wsp:val=&quot;006750CC&quot;/&gt;&lt;wsp:rsid wsp:val=&quot;006831A8&quot;/&gt;&lt;wsp:rsid wsp:val=&quot;00685C94&quot;/&gt;&lt;wsp:rsid wsp:val=&quot;00691A3D&quot;/&gt;&lt;wsp:rsid wsp:val=&quot;00696CF9&quot;/&gt;&lt;wsp:rsid wsp:val=&quot;006A00A7&quot;/&gt;&lt;wsp:rsid wsp:val=&quot;006A6523&quot;/&gt;&lt;wsp:rsid wsp:val=&quot;006B0DB2&quot;/&gt;&lt;wsp:rsid wsp:val=&quot;006B609B&quot;/&gt;&lt;wsp:rsid wsp:val=&quot;006B717D&quot;/&gt;&lt;wsp:rsid wsp:val=&quot;006C3106&quot;/&gt;&lt;wsp:rsid wsp:val=&quot;006D20B9&quot;/&gt;&lt;wsp:rsid wsp:val=&quot;006D60D1&quot;/&gt;&lt;wsp:rsid wsp:val=&quot;006F2DC0&quot;/&gt;&lt;wsp:rsid wsp:val=&quot;006F4D3D&quot;/&gt;&lt;wsp:rsid wsp:val=&quot;006F7D07&quot;/&gt;&lt;wsp:rsid wsp:val=&quot;0070250E&quot;/&gt;&lt;wsp:rsid wsp:val=&quot;00704B7E&quot;/&gt;&lt;wsp:rsid wsp:val=&quot;00714F81&quot;/&gt;&lt;wsp:rsid wsp:val=&quot;00716131&quot;/&gt;&lt;wsp:rsid wsp:val=&quot;007258A8&quot;/&gt;&lt;wsp:rsid wsp:val=&quot;007306B4&quot;/&gt;&lt;wsp:rsid wsp:val=&quot;00733AE3&quot;/&gt;&lt;wsp:rsid wsp:val=&quot;00734A1C&quot;/&gt;&lt;wsp:rsid wsp:val=&quot;00735B3E&quot;/&gt;&lt;wsp:rsid wsp:val=&quot;00740461&quot;/&gt;&lt;wsp:rsid wsp:val=&quot;007411AC&quot;/&gt;&lt;wsp:rsid wsp:val=&quot;007450F8&quot;/&gt;&lt;wsp:rsid wsp:val=&quot;007516A2&quot;/&gt;&lt;wsp:rsid wsp:val=&quot;007519DC&quot;/&gt;&lt;wsp:rsid wsp:val=&quot;00756D13&quot;/&gt;&lt;wsp:rsid wsp:val=&quot;00761075&quot;/&gt;&lt;wsp:rsid wsp:val=&quot;0076276D&quot;/&gt;&lt;wsp:rsid wsp:val=&quot;00763812&quot;/&gt;&lt;wsp:rsid wsp:val=&quot;00765D67&quot;/&gt;&lt;wsp:rsid wsp:val=&quot;00766F56&quot;/&gt;&lt;wsp:rsid wsp:val=&quot;00774A51&quot;/&gt;&lt;wsp:rsid wsp:val=&quot;00780EDC&quot;/&gt;&lt;wsp:rsid wsp:val=&quot;00783576&quot;/&gt;&lt;wsp:rsid wsp:val=&quot;00783AC6&quot;/&gt;&lt;wsp:rsid wsp:val=&quot;00784156&quot;/&gt;&lt;wsp:rsid wsp:val=&quot;007859D9&quot;/&gt;&lt;wsp:rsid wsp:val=&quot;00787BA4&quot;/&gt;&lt;wsp:rsid wsp:val=&quot;00792B49&quot;/&gt;&lt;wsp:rsid wsp:val=&quot;00796663&quot;/&gt;&lt;wsp:rsid wsp:val=&quot;007B342B&quot;/&gt;&lt;wsp:rsid wsp:val=&quot;007B389D&quot;/&gt;&lt;wsp:rsid wsp:val=&quot;007B63B9&quot;/&gt;&lt;wsp:rsid wsp:val=&quot;007E27F7&quot;/&gt;&lt;wsp:rsid wsp:val=&quot;007E3F72&quot;/&gt;&lt;wsp:rsid wsp:val=&quot;007E4F09&quot;/&gt;&lt;wsp:rsid wsp:val=&quot;007E522E&quot;/&gt;&lt;wsp:rsid wsp:val=&quot;007F0E1A&quot;/&gt;&lt;wsp:rsid wsp:val=&quot;007F492B&quot;/&gt;&lt;wsp:rsid wsp:val=&quot;007F5D3C&quot;/&gt;&lt;wsp:rsid wsp:val=&quot;00800232&quot;/&gt;&lt;wsp:rsid wsp:val=&quot;008031D9&quot;/&gt;&lt;wsp:rsid wsp:val=&quot;00803365&quot;/&gt;&lt;wsp:rsid wsp:val=&quot;00805E30&quot;/&gt;&lt;wsp:rsid wsp:val=&quot;0080687A&quot;/&gt;&lt;wsp:rsid wsp:val=&quot;0080755A&quot;/&gt;&lt;wsp:rsid wsp:val=&quot;00834E98&quot;/&gt;&lt;wsp:rsid wsp:val=&quot;0083729E&quot;/&gt;&lt;wsp:rsid wsp:val=&quot;00842354&quot;/&gt;&lt;wsp:rsid wsp:val=&quot;00843E43&quot;/&gt;&lt;wsp:rsid wsp:val=&quot;00844457&quot;/&gt;&lt;wsp:rsid wsp:val=&quot;00844682&quot;/&gt;&lt;wsp:rsid wsp:val=&quot;008577B9&quot;/&gt;&lt;wsp:rsid wsp:val=&quot;00857DED&quot;/&gt;&lt;wsp:rsid wsp:val=&quot;00864203&quot;/&gt;&lt;wsp:rsid wsp:val=&quot;00896BB4&quot;/&gt;&lt;wsp:rsid wsp:val=&quot;00897605&quot;/&gt;&lt;wsp:rsid wsp:val=&quot;008A64F1&quot;/&gt;&lt;wsp:rsid wsp:val=&quot;008B2B78&quot;/&gt;&lt;wsp:rsid wsp:val=&quot;008B4220&quot;/&gt;&lt;wsp:rsid wsp:val=&quot;008B7539&quot;/&gt;&lt;wsp:rsid wsp:val=&quot;008C7495&quot;/&gt;&lt;wsp:rsid wsp:val=&quot;008D040B&quot;/&gt;&lt;wsp:rsid wsp:val=&quot;008D7F38&quot;/&gt;&lt;wsp:rsid wsp:val=&quot;008E2603&quot;/&gt;&lt;wsp:rsid wsp:val=&quot;008E67F6&quot;/&gt;&lt;wsp:rsid wsp:val=&quot;008F37E9&quot;/&gt;&lt;wsp:rsid wsp:val=&quot;00910508&quot;/&gt;&lt;wsp:rsid wsp:val=&quot;009212CC&quot;/&gt;&lt;wsp:rsid wsp:val=&quot;00922FE3&quot;/&gt;&lt;wsp:rsid wsp:val=&quot;009234B8&quot;/&gt;&lt;wsp:rsid wsp:val=&quot;00933CDB&quot;/&gt;&lt;wsp:rsid wsp:val=&quot;009355DD&quot;/&gt;&lt;wsp:rsid wsp:val=&quot;00942C42&quot;/&gt;&lt;wsp:rsid wsp:val=&quot;00960B69&quot;/&gt;&lt;wsp:rsid wsp:val=&quot;00961104&quot;/&gt;&lt;wsp:rsid wsp:val=&quot;00962C8F&quot;/&gt;&lt;wsp:rsid wsp:val=&quot;00963880&quot;/&gt;&lt;wsp:rsid wsp:val=&quot;009708C6&quot;/&gt;&lt;wsp:rsid wsp:val=&quot;00975CC7&quot;/&gt;&lt;wsp:rsid wsp:val=&quot;00983D2D&quot;/&gt;&lt;wsp:rsid wsp:val=&quot;0098501D&quot;/&gt;&lt;wsp:rsid wsp:val=&quot;009A1195&quot;/&gt;&lt;wsp:rsid wsp:val=&quot;009A66CF&quot;/&gt;&lt;wsp:rsid wsp:val=&quot;009C4D8C&quot;/&gt;&lt;wsp:rsid wsp:val=&quot;009D2810&quot;/&gt;&lt;wsp:rsid wsp:val=&quot;009D3B45&quot;/&gt;&lt;wsp:rsid wsp:val=&quot;009D4559&quot;/&gt;&lt;wsp:rsid wsp:val=&quot;009D5593&quot;/&gt;&lt;wsp:rsid wsp:val=&quot;009D6FAF&quot;/&gt;&lt;wsp:rsid wsp:val=&quot;009D718D&quot;/&gt;&lt;wsp:rsid wsp:val=&quot;009D71FD&quot;/&gt;&lt;wsp:rsid wsp:val=&quot;009E0DD1&quot;/&gt;&lt;wsp:rsid wsp:val=&quot;009E343B&quot;/&gt;&lt;wsp:rsid wsp:val=&quot;009F557E&quot;/&gt;&lt;wsp:rsid wsp:val=&quot;00A016E2&quot;/&gt;&lt;wsp:rsid wsp:val=&quot;00A11635&quot;/&gt;&lt;wsp:rsid wsp:val=&quot;00A11C17&quot;/&gt;&lt;wsp:rsid wsp:val=&quot;00A130E5&quot;/&gt;&lt;wsp:rsid wsp:val=&quot;00A137ED&quot;/&gt;&lt;wsp:rsid wsp:val=&quot;00A147F8&quot;/&gt;&lt;wsp:rsid wsp:val=&quot;00A154AC&quot;/&gt;&lt;wsp:rsid wsp:val=&quot;00A2390B&quot;/&gt;&lt;wsp:rsid wsp:val=&quot;00A25F16&quot;/&gt;&lt;wsp:rsid wsp:val=&quot;00A3349B&quot;/&gt;&lt;wsp:rsid wsp:val=&quot;00A37132&quot;/&gt;&lt;wsp:rsid wsp:val=&quot;00A408CE&quot;/&gt;&lt;wsp:rsid wsp:val=&quot;00A4238B&quot;/&gt;&lt;wsp:rsid wsp:val=&quot;00A4741C&quot;/&gt;&lt;wsp:rsid wsp:val=&quot;00A56674&quot;/&gt;&lt;wsp:rsid wsp:val=&quot;00A6292A&quot;/&gt;&lt;wsp:rsid wsp:val=&quot;00A679D6&quot;/&gt;&lt;wsp:rsid wsp:val=&quot;00A729D9&quot;/&gt;&lt;wsp:rsid wsp:val=&quot;00A73559&quot;/&gt;&lt;wsp:rsid wsp:val=&quot;00A8715A&quot;/&gt;&lt;wsp:rsid wsp:val=&quot;00A9016F&quot;/&gt;&lt;wsp:rsid wsp:val=&quot;00A91711&quot;/&gt;&lt;wsp:rsid wsp:val=&quot;00A9426A&quot;/&gt;&lt;wsp:rsid wsp:val=&quot;00A95B49&quot;/&gt;&lt;wsp:rsid wsp:val=&quot;00AA754A&quot;/&gt;&lt;wsp:rsid wsp:val=&quot;00AA78C6&quot;/&gt;&lt;wsp:rsid wsp:val=&quot;00AB0D3D&quot;/&gt;&lt;wsp:rsid wsp:val=&quot;00AB1D5A&quot;/&gt;&lt;wsp:rsid wsp:val=&quot;00AB3609&quot;/&gt;&lt;wsp:rsid wsp:val=&quot;00AC2BD1&quot;/&gt;&lt;wsp:rsid wsp:val=&quot;00AC4A3F&quot;/&gt;&lt;wsp:rsid wsp:val=&quot;00AD125A&quot;/&gt;&lt;wsp:rsid wsp:val=&quot;00AD1802&quot;/&gt;&lt;wsp:rsid wsp:val=&quot;00AD505D&quot;/&gt;&lt;wsp:rsid wsp:val=&quot;00AD7D6E&quot;/&gt;&lt;wsp:rsid wsp:val=&quot;00AE1B92&quot;/&gt;&lt;wsp:rsid wsp:val=&quot;00AE4E0E&quot;/&gt;&lt;wsp:rsid wsp:val=&quot;00AF4834&quot;/&gt;&lt;wsp:rsid wsp:val=&quot;00AF4EB1&quot;/&gt;&lt;wsp:rsid wsp:val=&quot;00B03EEA&quot;/&gt;&lt;wsp:rsid wsp:val=&quot;00B03FC8&quot;/&gt;&lt;wsp:rsid wsp:val=&quot;00B03FEB&quot;/&gt;&lt;wsp:rsid wsp:val=&quot;00B04305&quot;/&gt;&lt;wsp:rsid wsp:val=&quot;00B11D05&quot;/&gt;&lt;wsp:rsid wsp:val=&quot;00B154DF&quot;/&gt;&lt;wsp:rsid wsp:val=&quot;00B16681&quot;/&gt;&lt;wsp:rsid wsp:val=&quot;00B2089E&quot;/&gt;&lt;wsp:rsid wsp:val=&quot;00B217EA&quot;/&gt;&lt;wsp:rsid wsp:val=&quot;00B21E4A&quot;/&gt;&lt;wsp:rsid wsp:val=&quot;00B239A8&quot;/&gt;&lt;wsp:rsid wsp:val=&quot;00B25F5C&quot;/&gt;&lt;wsp:rsid wsp:val=&quot;00B30350&quot;/&gt;&lt;wsp:rsid wsp:val=&quot;00B341F7&quot;/&gt;&lt;wsp:rsid wsp:val=&quot;00B41E36&quot;/&gt;&lt;wsp:rsid wsp:val=&quot;00B43585&quot;/&gt;&lt;wsp:rsid wsp:val=&quot;00B43BC1&quot;/&gt;&lt;wsp:rsid wsp:val=&quot;00B44964&quot;/&gt;&lt;wsp:rsid wsp:val=&quot;00B50D5E&quot;/&gt;&lt;wsp:rsid wsp:val=&quot;00B550EE&quot;/&gt;&lt;wsp:rsid wsp:val=&quot;00B604A0&quot;/&gt;&lt;wsp:rsid wsp:val=&quot;00B6077F&quot;/&gt;&lt;wsp:rsid wsp:val=&quot;00B70A42&quot;/&gt;&lt;wsp:rsid wsp:val=&quot;00B7203A&quot;/&gt;&lt;wsp:rsid wsp:val=&quot;00B773A5&quot;/&gt;&lt;wsp:rsid wsp:val=&quot;00B82EC1&quot;/&gt;&lt;wsp:rsid wsp:val=&quot;00B85661&quot;/&gt;&lt;wsp:rsid wsp:val=&quot;00B86354&quot;/&gt;&lt;wsp:rsid wsp:val=&quot;00B87C1C&quot;/&gt;&lt;wsp:rsid wsp:val=&quot;00B93641&quot;/&gt;&lt;wsp:rsid wsp:val=&quot;00B97875&quot;/&gt;&lt;wsp:rsid wsp:val=&quot;00BB12FD&quot;/&gt;&lt;wsp:rsid wsp:val=&quot;00BB7460&quot;/&gt;&lt;wsp:rsid wsp:val=&quot;00BC0188&quot;/&gt;&lt;wsp:rsid wsp:val=&quot;00BD115A&quot;/&gt;&lt;wsp:rsid wsp:val=&quot;00BD742C&quot;/&gt;&lt;wsp:rsid wsp:val=&quot;00BE0B3C&quot;/&gt;&lt;wsp:rsid wsp:val=&quot;00BF0BC2&quot;/&gt;&lt;wsp:rsid wsp:val=&quot;00BF389E&quot;/&gt;&lt;wsp:rsid wsp:val=&quot;00BF7BE0&quot;/&gt;&lt;wsp:rsid wsp:val=&quot;00C04505&quot;/&gt;&lt;wsp:rsid wsp:val=&quot;00C04E63&quot;/&gt;&lt;wsp:rsid wsp:val=&quot;00C12843&quot;/&gt;&lt;wsp:rsid wsp:val=&quot;00C16CF5&quot;/&gt;&lt;wsp:rsid wsp:val=&quot;00C203E1&quot;/&gt;&lt;wsp:rsid wsp:val=&quot;00C24A67&quot;/&gt;&lt;wsp:rsid wsp:val=&quot;00C254F0&quot;/&gt;&lt;wsp:rsid wsp:val=&quot;00C255F9&quot;/&gt;&lt;wsp:rsid wsp:val=&quot;00C26CAD&quot;/&gt;&lt;wsp:rsid wsp:val=&quot;00C276AA&quot;/&gt;&lt;wsp:rsid wsp:val=&quot;00C324DF&quot;/&gt;&lt;wsp:rsid wsp:val=&quot;00C344CF&quot;/&gt;&lt;wsp:rsid wsp:val=&quot;00C36B90&quot;/&gt;&lt;wsp:rsid wsp:val=&quot;00C41F2B&quot;/&gt;&lt;wsp:rsid wsp:val=&quot;00C4634F&quot;/&gt;&lt;wsp:rsid wsp:val=&quot;00C639F7&quot;/&gt;&lt;wsp:rsid wsp:val=&quot;00C63F78&quot;/&gt;&lt;wsp:rsid wsp:val=&quot;00C7724A&quot;/&gt;&lt;wsp:rsid wsp:val=&quot;00C8635B&quot;/&gt;&lt;wsp:rsid wsp:val=&quot;00C866F1&quot;/&gt;&lt;wsp:rsid wsp:val=&quot;00C9482B&quot;/&gt;&lt;wsp:rsid wsp:val=&quot;00C969AD&quot;/&gt;&lt;wsp:rsid wsp:val=&quot;00C9747D&quot;/&gt;&lt;wsp:rsid wsp:val=&quot;00CA1813&quot;/&gt;&lt;wsp:rsid wsp:val=&quot;00CA3ACE&quot;/&gt;&lt;wsp:rsid wsp:val=&quot;00CA7AF5&quot;/&gt;&lt;wsp:rsid wsp:val=&quot;00CB23C3&quot;/&gt;&lt;wsp:rsid wsp:val=&quot;00CB2477&quot;/&gt;&lt;wsp:rsid wsp:val=&quot;00CB3E4B&quot;/&gt;&lt;wsp:rsid wsp:val=&quot;00CB4100&quot;/&gt;&lt;wsp:rsid wsp:val=&quot;00CB46AB&quot;/&gt;&lt;wsp:rsid wsp:val=&quot;00CB47C6&quot;/&gt;&lt;wsp:rsid wsp:val=&quot;00CB651C&quot;/&gt;&lt;wsp:rsid wsp:val=&quot;00CC045E&quot;/&gt;&lt;wsp:rsid wsp:val=&quot;00CC3D6D&quot;/&gt;&lt;wsp:rsid wsp:val=&quot;00CC4901&quot;/&gt;&lt;wsp:rsid wsp:val=&quot;00CD3D8F&quot;/&gt;&lt;wsp:rsid wsp:val=&quot;00CE11B6&quot;/&gt;&lt;wsp:rsid wsp:val=&quot;00CF0580&quot;/&gt;&lt;wsp:rsid wsp:val=&quot;00CF24AE&quot;/&gt;&lt;wsp:rsid wsp:val=&quot;00CF31AB&quot;/&gt;&lt;wsp:rsid wsp:val=&quot;00CF4CB4&quot;/&gt;&lt;wsp:rsid wsp:val=&quot;00D0753E&quot;/&gt;&lt;wsp:rsid wsp:val=&quot;00D1243B&quot;/&gt;&lt;wsp:rsid wsp:val=&quot;00D31603&quot;/&gt;&lt;wsp:rsid wsp:val=&quot;00D329EC&quot;/&gt;&lt;wsp:rsid wsp:val=&quot;00D3344A&quot;/&gt;&lt;wsp:rsid wsp:val=&quot;00D36CBF&quot;/&gt;&lt;wsp:rsid wsp:val=&quot;00D452FF&quot;/&gt;&lt;wsp:rsid wsp:val=&quot;00D4573E&quot;/&gt;&lt;wsp:rsid wsp:val=&quot;00D51FEE&quot;/&gt;&lt;wsp:rsid wsp:val=&quot;00D65F41&quot;/&gt;&lt;wsp:rsid wsp:val=&quot;00D7141B&quot;/&gt;&lt;wsp:rsid wsp:val=&quot;00D725AE&quot;/&gt;&lt;wsp:rsid wsp:val=&quot;00D76C53&quot;/&gt;&lt;wsp:rsid wsp:val=&quot;00D81CC8&quot;/&gt;&lt;wsp:rsid wsp:val=&quot;00D82B18&quot;/&gt;&lt;wsp:rsid wsp:val=&quot;00D954E8&quot;/&gt;&lt;wsp:rsid wsp:val=&quot;00D95D80&quot;/&gt;&lt;wsp:rsid wsp:val=&quot;00DB3318&quot;/&gt;&lt;wsp:rsid wsp:val=&quot;00DD0EEA&quot;/&gt;&lt;wsp:rsid wsp:val=&quot;00DD32AC&quot;/&gt;&lt;wsp:rsid wsp:val=&quot;00DE03EB&quot;/&gt;&lt;wsp:rsid wsp:val=&quot;00DE0ACA&quot;/&gt;&lt;wsp:rsid wsp:val=&quot;00DE1BA2&quot;/&gt;&lt;wsp:rsid wsp:val=&quot;00DF4B3F&quot;/&gt;&lt;wsp:rsid wsp:val=&quot;00DF7872&quot;/&gt;&lt;wsp:rsid wsp:val=&quot;00E050CC&quot;/&gt;&lt;wsp:rsid wsp:val=&quot;00E104C4&quot;/&gt;&lt;wsp:rsid wsp:val=&quot;00E108D3&quot;/&gt;&lt;wsp:rsid wsp:val=&quot;00E11B1F&quot;/&gt;&lt;wsp:rsid wsp:val=&quot;00E12FB3&quot;/&gt;&lt;wsp:rsid wsp:val=&quot;00E14FBC&quot;/&gt;&lt;wsp:rsid wsp:val=&quot;00E16988&quot;/&gt;&lt;wsp:rsid wsp:val=&quot;00E16E9F&quot;/&gt;&lt;wsp:rsid wsp:val=&quot;00E21DE4&quot;/&gt;&lt;wsp:rsid wsp:val=&quot;00E3179F&quot;/&gt;&lt;wsp:rsid wsp:val=&quot;00E327A3&quot;/&gt;&lt;wsp:rsid wsp:val=&quot;00E44AB3&quot;/&gt;&lt;wsp:rsid wsp:val=&quot;00E52D0F&quot;/&gt;&lt;wsp:rsid wsp:val=&quot;00E5332F&quot;/&gt;&lt;wsp:rsid wsp:val=&quot;00E540EC&quot;/&gt;&lt;wsp:rsid wsp:val=&quot;00E54B94&quot;/&gt;&lt;wsp:rsid wsp:val=&quot;00E60AE8&quot;/&gt;&lt;wsp:rsid wsp:val=&quot;00E63EF4&quot;/&gt;&lt;wsp:rsid wsp:val=&quot;00E64083&quot;/&gt;&lt;wsp:rsid wsp:val=&quot;00E6564D&quot;/&gt;&lt;wsp:rsid wsp:val=&quot;00E65EA6&quot;/&gt;&lt;wsp:rsid wsp:val=&quot;00E668CC&quot;/&gt;&lt;wsp:rsid wsp:val=&quot;00E70D33&quot;/&gt;&lt;wsp:rsid wsp:val=&quot;00E75CB9&quot;/&gt;&lt;wsp:rsid wsp:val=&quot;00E767B4&quot;/&gt;&lt;wsp:rsid wsp:val=&quot;00E77840&quot;/&gt;&lt;wsp:rsid wsp:val=&quot;00E84C1D&quot;/&gt;&lt;wsp:rsid wsp:val=&quot;00E84E78&quot;/&gt;&lt;wsp:rsid wsp:val=&quot;00E8687D&quot;/&gt;&lt;wsp:rsid wsp:val=&quot;00E9162F&quot;/&gt;&lt;wsp:rsid wsp:val=&quot;00E916CE&quot;/&gt;&lt;wsp:rsid wsp:val=&quot;00E93466&quot;/&gt;&lt;wsp:rsid wsp:val=&quot;00EA4477&quot;/&gt;&lt;wsp:rsid wsp:val=&quot;00EA4B7D&quot;/&gt;&lt;wsp:rsid wsp:val=&quot;00EA522F&quot;/&gt;&lt;wsp:rsid wsp:val=&quot;00EA7BCD&quot;/&gt;&lt;wsp:rsid wsp:val=&quot;00EB068C&quot;/&gt;&lt;wsp:rsid wsp:val=&quot;00EB4F8F&quot;/&gt;&lt;wsp:rsid wsp:val=&quot;00EB5925&quot;/&gt;&lt;wsp:rsid wsp:val=&quot;00EC4F03&quot;/&gt;&lt;wsp:rsid wsp:val=&quot;00EE0DE2&quot;/&gt;&lt;wsp:rsid wsp:val=&quot;00EE385B&quot;/&gt;&lt;wsp:rsid wsp:val=&quot;00EE3DB6&quot;/&gt;&lt;wsp:rsid wsp:val=&quot;00EE565D&quot;/&gt;&lt;wsp:rsid wsp:val=&quot;00EF154E&quot;/&gt;&lt;wsp:rsid wsp:val=&quot;00EF26F3&quot;/&gt;&lt;wsp:rsid wsp:val=&quot;00EF7CEC&quot;/&gt;&lt;wsp:rsid wsp:val=&quot;00F01E6E&quot;/&gt;&lt;wsp:rsid wsp:val=&quot;00F057E5&quot;/&gt;&lt;wsp:rsid wsp:val=&quot;00F074A0&quot;/&gt;&lt;wsp:rsid wsp:val=&quot;00F110F5&quot;/&gt;&lt;wsp:rsid wsp:val=&quot;00F218E4&quot;/&gt;&lt;wsp:rsid wsp:val=&quot;00F262EB&quot;/&gt;&lt;wsp:rsid wsp:val=&quot;00F321CC&quot;/&gt;&lt;wsp:rsid wsp:val=&quot;00F3317A&quot;/&gt;&lt;wsp:rsid wsp:val=&quot;00F33636&quot;/&gt;&lt;wsp:rsid wsp:val=&quot;00F33921&quot;/&gt;&lt;wsp:rsid wsp:val=&quot;00F3420B&quot;/&gt;&lt;wsp:rsid wsp:val=&quot;00F34CDB&quot;/&gt;&lt;wsp:rsid wsp:val=&quot;00F3522B&quot;/&gt;&lt;wsp:rsid wsp:val=&quot;00F36ED0&quot;/&gt;&lt;wsp:rsid wsp:val=&quot;00F45C98&quot;/&gt;&lt;wsp:rsid wsp:val=&quot;00F4655F&quot;/&gt;&lt;wsp:rsid wsp:val=&quot;00F61ADC&quot;/&gt;&lt;wsp:rsid wsp:val=&quot;00F64E0B&quot;/&gt;&lt;wsp:rsid wsp:val=&quot;00F66226&quot;/&gt;&lt;wsp:rsid wsp:val=&quot;00F725F3&quot;/&gt;&lt;wsp:rsid wsp:val=&quot;00F767E4&quot;/&gt;&lt;wsp:rsid wsp:val=&quot;00F8024D&quot;/&gt;&lt;wsp:rsid wsp:val=&quot;00F82F07&quot;/&gt;&lt;wsp:rsid wsp:val=&quot;00F87BDE&quot;/&gt;&lt;wsp:rsid wsp:val=&quot;00F91FB4&quot;/&gt;&lt;wsp:rsid wsp:val=&quot;00FA0502&quot;/&gt;&lt;wsp:rsid wsp:val=&quot;00FA2098&quot;/&gt;&lt;wsp:rsid wsp:val=&quot;00FA24C1&quot;/&gt;&lt;wsp:rsid wsp:val=&quot;00FA585E&quot;/&gt;&lt;wsp:rsid wsp:val=&quot;00FB2C3C&quot;/&gt;&lt;wsp:rsid wsp:val=&quot;00FB5660&quot;/&gt;&lt;wsp:rsid wsp:val=&quot;00FC1893&quot;/&gt;&lt;wsp:rsid wsp:val=&quot;00FC276A&quot;/&gt;&lt;wsp:rsid wsp:val=&quot;00FD010F&quot;/&gt;&lt;wsp:rsid wsp:val=&quot;00FD2988&quot;/&gt;&lt;wsp:rsid wsp:val=&quot;00FD53F1&quot;/&gt;&lt;wsp:rsid wsp:val=&quot;00FD6178&quot;/&gt;&lt;wsp:rsid wsp:val=&quot;00FE33C9&quot;/&gt;&lt;wsp:rsid wsp:val=&quot;00FF2BB6&quot;/&gt;&lt;wsp:rsid wsp:val=&quot;00FF7605&quot;/&gt;&lt;/wsp:rsids&gt;&lt;/w:docPr&gt;&lt;w:body&gt;&lt;wx:sect&gt;&lt;w:p wsp:rsidR=&quot;00CB23C3&quot; wsp:rsidRPr=&quot;00CB23C3&quot; wsp:rsidRDefault=&quot;00CB23C3&quot; wsp:rsidP=&quot;00CB23C3&quot;&gt;&lt;m:oMathPara&gt;&lt;m:oMath&gt;&lt;m:r&gt;&lt;w:rPr&gt;&lt;w:rFonts w:ascii=&quot;Cambria Math&quot; w:h-ansi=&quot;Cambria Math&quot;/&gt;&lt;wx:font wx:val=&quot;Cambria Math&quot;/&gt;&lt;w:i/&gt;&lt;/w:rPr&gt;&lt;m:t&gt;r=&lt;/m:t&gt;&lt;/m:r&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T2-T1&lt;/m:t&gt;&lt;/m:r&gt;&lt;/m:den&gt;&lt;/m:f&gt;&lt;/m:e&gt;&lt;/m:d&gt;&lt;m:r&gt;&lt;w:rPr&gt;&lt;w:rFonts w:ascii=&quot;Cambria Math&quot; w:h-ansi=&quot;Cambria Math&quot;/&gt;&lt;wx:font wx:val=&quot;Cambria Math&quot;/&gt;&lt;w:i/&gt;&lt;/w:rPr&gt;&lt;m:t&gt;+ln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2&lt;/m:t&gt;&lt;/m:r&gt;&lt;/m:num&gt;&lt;m:den&gt;&lt;m:r&gt;&lt;w:rPr&gt;&lt;w:rFonts w:ascii=&quot;Cambria Math&quot; w:h-ansi=&quot;Cambria Math&quot;/&gt;&lt;wx:font wx:val=&quot;Cambria Math&quot;/&gt;&lt;w:i/&gt;&lt;/w:rPr&gt;&lt;m:t&gt;A1&lt;/m:t&gt;&lt;/m:r&gt;&lt;/m:den&gt;&lt;/m:f&gt;&lt;m:r&gt;&lt;w:rPr&gt;&lt;w:rFonts w:ascii=&quot;Cambria Math&quot; w:h-ansi=&quot;Cambria Math&quot;/&gt;&lt;wx:font wx:val=&quot;Cambria Math&quot;/&gt;&lt;w:i/&gt;&lt;/w:rPr&gt;&lt;m:t&gt;)&lt;/m:t&gt;&lt;/m:r&gt;&lt;/m:oMath&gt;&lt;/m:oMathPara&gt;&lt;/w:p&gt;&lt;w:sectPr wsp:rsidR=&quot;00000000&quot; wsp:rsidRPr=&quot;00CB23C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p>
    <w:p w14:paraId="3E032253" w14:textId="47AC13BB" w:rsidR="009F557E" w:rsidRDefault="009F557E" w:rsidP="009F557E">
      <w:pPr>
        <w:spacing w:after="0" w:line="360" w:lineRule="auto"/>
        <w:ind w:firstLine="720"/>
        <w:jc w:val="both"/>
        <w:rPr>
          <w:rFonts w:ascii="Minion Pro" w:hAnsi="Minion Pro"/>
          <w:sz w:val="24"/>
          <w:szCs w:val="26"/>
        </w:rPr>
      </w:pPr>
      <w:r w:rsidRPr="008B7539">
        <w:rPr>
          <w:rFonts w:ascii="Minion Pro" w:hAnsi="Minion Pro"/>
          <w:sz w:val="20"/>
          <w:szCs w:val="20"/>
        </w:rPr>
        <w:t>Field observation was conducted to identify the land use type and validate the result from satellite images. Before the preprocessing of satellite imagery, an extensive field activity was performed throughout the study area using GPS equipment and an unmanned</w:t>
      </w:r>
      <w:r w:rsidRPr="009F557E">
        <w:rPr>
          <w:rFonts w:ascii="Minion Pro" w:hAnsi="Minion Pro"/>
          <w:sz w:val="20"/>
          <w:szCs w:val="20"/>
        </w:rPr>
        <w:t xml:space="preserve"> aerial vehicle (UAV/drone) for this activity. This field activity was performed to: (1) obtain accurate location of point data for each land cover class included in the classification scheme, (2) establish training sites and (3) create an independent data set reserved for accuracy </w:t>
      </w:r>
      <w:r w:rsidRPr="009F557E">
        <w:rPr>
          <w:rFonts w:ascii="Minion Pro" w:hAnsi="Minion Pro"/>
          <w:sz w:val="20"/>
          <w:szCs w:val="20"/>
        </w:rPr>
        <w:lastRenderedPageBreak/>
        <w:t xml:space="preserve">assessment. The land cover categories of focus were burnt areas, peat swamp forest, resettlement, barren land, </w:t>
      </w:r>
      <w:proofErr w:type="gramStart"/>
      <w:r w:rsidRPr="009F557E">
        <w:rPr>
          <w:rFonts w:ascii="Minion Pro" w:hAnsi="Minion Pro"/>
          <w:sz w:val="20"/>
          <w:szCs w:val="20"/>
        </w:rPr>
        <w:t>mangrove</w:t>
      </w:r>
      <w:proofErr w:type="gramEnd"/>
      <w:r w:rsidRPr="009F557E">
        <w:rPr>
          <w:rFonts w:ascii="Minion Pro" w:hAnsi="Minion Pro"/>
          <w:sz w:val="20"/>
          <w:szCs w:val="20"/>
        </w:rPr>
        <w:t xml:space="preserve"> and herbaceous land. Result from land cover change analysis then analyzed further using statistic descriptive to calculate the average deforestation each year and the standard error.</w:t>
      </w:r>
    </w:p>
    <w:p w14:paraId="6CC7E493" w14:textId="77777777" w:rsidR="009F557E" w:rsidRPr="00AE1B92" w:rsidRDefault="009F557E" w:rsidP="009F557E">
      <w:pPr>
        <w:spacing w:after="0" w:line="360" w:lineRule="auto"/>
        <w:rPr>
          <w:rFonts w:ascii="Minion Pro" w:hAnsi="Minion Pro" w:cs="Times New Roman"/>
          <w:sz w:val="30"/>
          <w:szCs w:val="30"/>
        </w:rPr>
      </w:pPr>
    </w:p>
    <w:p w14:paraId="35FF6140" w14:textId="77777777" w:rsidR="00E52D0F" w:rsidRDefault="005849EC" w:rsidP="00766F56">
      <w:pPr>
        <w:spacing w:after="0" w:line="360" w:lineRule="auto"/>
        <w:jc w:val="both"/>
        <w:rPr>
          <w:rFonts w:ascii="Minion Pro" w:hAnsi="Minion Pro" w:cs="Times New Roman"/>
          <w:color w:val="4472C4"/>
          <w:sz w:val="24"/>
          <w:szCs w:val="24"/>
        </w:rPr>
      </w:pPr>
      <w:r>
        <w:rPr>
          <w:rFonts w:ascii="Minion Pro" w:hAnsi="Minion Pro" w:cs="Times New Roman"/>
          <w:b/>
          <w:bCs/>
          <w:color w:val="4472C4"/>
          <w:sz w:val="24"/>
          <w:szCs w:val="24"/>
        </w:rPr>
        <w:t>3.</w:t>
      </w:r>
      <w:r w:rsidR="00030D07">
        <w:rPr>
          <w:rFonts w:ascii="Minion Pro" w:hAnsi="Minion Pro" w:cs="Times New Roman"/>
          <w:b/>
          <w:bCs/>
          <w:color w:val="4472C4"/>
          <w:sz w:val="24"/>
          <w:szCs w:val="24"/>
        </w:rPr>
        <w:t xml:space="preserve"> </w:t>
      </w:r>
      <w:r w:rsidR="00E52D0F">
        <w:rPr>
          <w:rFonts w:ascii="Minion Pro" w:hAnsi="Minion Pro" w:cs="Times New Roman"/>
          <w:b/>
          <w:bCs/>
          <w:color w:val="4472C4"/>
          <w:sz w:val="24"/>
          <w:szCs w:val="24"/>
        </w:rPr>
        <w:t>R</w:t>
      </w:r>
      <w:r>
        <w:rPr>
          <w:rFonts w:ascii="Minion Pro" w:hAnsi="Minion Pro" w:cs="Times New Roman"/>
          <w:b/>
          <w:bCs/>
          <w:color w:val="4472C4"/>
          <w:sz w:val="24"/>
          <w:szCs w:val="24"/>
        </w:rPr>
        <w:t xml:space="preserve">esult and Discussion </w:t>
      </w:r>
    </w:p>
    <w:p w14:paraId="3F85D409" w14:textId="77777777" w:rsidR="009F557E" w:rsidRPr="009F557E" w:rsidRDefault="009F557E" w:rsidP="009F557E">
      <w:pPr>
        <w:pStyle w:val="MDPI31text"/>
        <w:spacing w:line="360" w:lineRule="auto"/>
        <w:ind w:left="0" w:firstLine="720"/>
        <w:rPr>
          <w:rFonts w:ascii="Minion Pro" w:hAnsi="Minion Pro"/>
          <w:szCs w:val="20"/>
        </w:rPr>
      </w:pPr>
      <w:r w:rsidRPr="009F557E">
        <w:rPr>
          <w:rFonts w:ascii="Minion Pro" w:hAnsi="Minion Pro"/>
          <w:szCs w:val="20"/>
        </w:rPr>
        <w:t xml:space="preserve">Data indicated that deforestation rates in Central Kalimantan had fluctuated in each computation. This takes place because of the dynamic changes in land cover brought on by human activities that result in the loss of forest cover. In total, between the period 2006 – 2020 natural forest in Central Kalimantan has reduced 1.5 million hectares. Swamp secondary forest and dry secondary forest experienced deforestation the most, while mangrove primary forest and mangrove secondary forest less deforested (see </w:t>
      </w:r>
      <w:r w:rsidRPr="009F557E">
        <w:rPr>
          <w:rFonts w:ascii="Minion Pro" w:hAnsi="Minion Pro"/>
          <w:b/>
          <w:bCs/>
          <w:szCs w:val="20"/>
        </w:rPr>
        <w:t>Figure 3</w:t>
      </w:r>
      <w:r w:rsidRPr="009F557E">
        <w:rPr>
          <w:rFonts w:ascii="Minion Pro" w:hAnsi="Minion Pro"/>
          <w:szCs w:val="20"/>
        </w:rPr>
        <w:t xml:space="preserve">). The rate of deforestation fluctuated during the period of analysis, however in general showed a decreasing trend. As </w:t>
      </w:r>
      <w:r w:rsidRPr="009F557E">
        <w:rPr>
          <w:rFonts w:ascii="Minion Pro" w:hAnsi="Minion Pro"/>
          <w:b/>
          <w:bCs/>
          <w:szCs w:val="20"/>
        </w:rPr>
        <w:t xml:space="preserve">Table 2 </w:t>
      </w:r>
      <w:r w:rsidRPr="009F557E">
        <w:rPr>
          <w:rFonts w:ascii="Minion Pro" w:hAnsi="Minion Pro"/>
          <w:szCs w:val="20"/>
        </w:rPr>
        <w:t>shows between 2006 – 2009 to 2011 – 2012 deforestation decrease sharply, falling from 418,524 ha/year to 56,421 ha/year. The trend then rises slightly to 86,305 ha/year in 2012 – 2013.</w:t>
      </w:r>
    </w:p>
    <w:p w14:paraId="0C2440C7" w14:textId="77777777" w:rsidR="009F557E" w:rsidRPr="009F557E" w:rsidRDefault="009F557E" w:rsidP="009F557E">
      <w:pPr>
        <w:pStyle w:val="MDPI31text"/>
        <w:spacing w:before="240" w:after="120"/>
        <w:ind w:left="0" w:firstLine="0"/>
        <w:jc w:val="center"/>
        <w:rPr>
          <w:rFonts w:ascii="Minion Pro" w:hAnsi="Minion Pro"/>
          <w:szCs w:val="20"/>
        </w:rPr>
      </w:pPr>
      <w:r w:rsidRPr="009F557E">
        <w:rPr>
          <w:rFonts w:ascii="Minion Pro" w:hAnsi="Minion Pro"/>
          <w:b/>
          <w:bCs/>
          <w:szCs w:val="20"/>
        </w:rPr>
        <w:t xml:space="preserve">Table 2. </w:t>
      </w:r>
      <w:r w:rsidRPr="009F557E">
        <w:rPr>
          <w:rFonts w:ascii="Minion Pro" w:hAnsi="Minion Pro"/>
          <w:szCs w:val="20"/>
        </w:rPr>
        <w:t>The change of natural forest cover between 2006 – 2020 (in hectares).</w:t>
      </w:r>
    </w:p>
    <w:tbl>
      <w:tblPr>
        <w:tblW w:w="7857" w:type="dxa"/>
        <w:tblInd w:w="70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9F557E" w:rsidRPr="009F557E" w14:paraId="049E1729" w14:textId="77777777" w:rsidTr="009F557E">
        <w:tc>
          <w:tcPr>
            <w:tcW w:w="2619" w:type="dxa"/>
            <w:tcBorders>
              <w:bottom w:val="single" w:sz="4" w:space="0" w:color="auto"/>
            </w:tcBorders>
            <w:shd w:val="clear" w:color="auto" w:fill="auto"/>
          </w:tcPr>
          <w:p w14:paraId="65D5CE29" w14:textId="77777777" w:rsidR="009F557E" w:rsidRPr="009F557E" w:rsidRDefault="009F557E" w:rsidP="003011B8">
            <w:pPr>
              <w:pStyle w:val="MDPI42tablebody"/>
              <w:spacing w:line="240" w:lineRule="auto"/>
              <w:rPr>
                <w:rFonts w:ascii="Minion Pro" w:hAnsi="Minion Pro"/>
                <w:b/>
                <w:bCs/>
                <w:snapToGrid/>
              </w:rPr>
            </w:pPr>
            <w:r w:rsidRPr="009F557E">
              <w:rPr>
                <w:rFonts w:ascii="Minion Pro" w:hAnsi="Minion Pro"/>
                <w:b/>
                <w:bCs/>
              </w:rPr>
              <w:t>Type of Forest</w:t>
            </w:r>
          </w:p>
        </w:tc>
        <w:tc>
          <w:tcPr>
            <w:tcW w:w="2619" w:type="dxa"/>
            <w:tcBorders>
              <w:bottom w:val="single" w:sz="4" w:space="0" w:color="auto"/>
            </w:tcBorders>
            <w:shd w:val="clear" w:color="auto" w:fill="auto"/>
          </w:tcPr>
          <w:p w14:paraId="5652D9C1" w14:textId="77777777" w:rsidR="009F557E" w:rsidRPr="009F557E" w:rsidRDefault="009F557E" w:rsidP="003011B8">
            <w:pPr>
              <w:pStyle w:val="MDPI42tablebody"/>
              <w:spacing w:line="240" w:lineRule="auto"/>
              <w:rPr>
                <w:rFonts w:ascii="Minion Pro" w:hAnsi="Minion Pro"/>
                <w:b/>
                <w:bCs/>
                <w:snapToGrid/>
              </w:rPr>
            </w:pPr>
            <w:r w:rsidRPr="009F557E">
              <w:rPr>
                <w:rFonts w:ascii="Minion Pro" w:hAnsi="Minion Pro"/>
                <w:b/>
                <w:bCs/>
              </w:rPr>
              <w:t>2006</w:t>
            </w:r>
          </w:p>
        </w:tc>
        <w:tc>
          <w:tcPr>
            <w:tcW w:w="2619" w:type="dxa"/>
            <w:tcBorders>
              <w:bottom w:val="single" w:sz="4" w:space="0" w:color="auto"/>
            </w:tcBorders>
            <w:shd w:val="clear" w:color="auto" w:fill="auto"/>
          </w:tcPr>
          <w:p w14:paraId="4378994E" w14:textId="77777777" w:rsidR="009F557E" w:rsidRPr="009F557E" w:rsidRDefault="009F557E" w:rsidP="003011B8">
            <w:pPr>
              <w:pStyle w:val="MDPI42tablebody"/>
              <w:spacing w:line="240" w:lineRule="auto"/>
              <w:rPr>
                <w:rFonts w:ascii="Minion Pro" w:hAnsi="Minion Pro"/>
                <w:b/>
                <w:bCs/>
                <w:snapToGrid/>
              </w:rPr>
            </w:pPr>
            <w:r w:rsidRPr="009F557E">
              <w:rPr>
                <w:rFonts w:ascii="Minion Pro" w:hAnsi="Minion Pro"/>
                <w:b/>
                <w:bCs/>
              </w:rPr>
              <w:t>2020</w:t>
            </w:r>
          </w:p>
        </w:tc>
      </w:tr>
      <w:tr w:rsidR="009F557E" w:rsidRPr="009F557E" w14:paraId="72DCD8F3" w14:textId="77777777" w:rsidTr="009F557E">
        <w:tc>
          <w:tcPr>
            <w:tcW w:w="2619" w:type="dxa"/>
            <w:shd w:val="clear" w:color="auto" w:fill="auto"/>
          </w:tcPr>
          <w:p w14:paraId="3FEB40DC"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Primary Dry Land Forest</w:t>
            </w:r>
          </w:p>
        </w:tc>
        <w:tc>
          <w:tcPr>
            <w:tcW w:w="2619" w:type="dxa"/>
            <w:shd w:val="clear" w:color="auto" w:fill="auto"/>
            <w:vAlign w:val="center"/>
          </w:tcPr>
          <w:p w14:paraId="3F23FDE8"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1,204,400</w:t>
            </w:r>
          </w:p>
        </w:tc>
        <w:tc>
          <w:tcPr>
            <w:tcW w:w="2619" w:type="dxa"/>
            <w:shd w:val="clear" w:color="auto" w:fill="auto"/>
            <w:vAlign w:val="center"/>
          </w:tcPr>
          <w:p w14:paraId="62D079C8"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1,058,780</w:t>
            </w:r>
          </w:p>
        </w:tc>
      </w:tr>
      <w:tr w:rsidR="009F557E" w:rsidRPr="009F557E" w14:paraId="48E1B53F" w14:textId="77777777" w:rsidTr="009F557E">
        <w:tc>
          <w:tcPr>
            <w:tcW w:w="2619" w:type="dxa"/>
            <w:shd w:val="clear" w:color="auto" w:fill="auto"/>
          </w:tcPr>
          <w:p w14:paraId="1D7BE6AE"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Primary Swamp Forest</w:t>
            </w:r>
          </w:p>
        </w:tc>
        <w:tc>
          <w:tcPr>
            <w:tcW w:w="2619" w:type="dxa"/>
            <w:shd w:val="clear" w:color="auto" w:fill="auto"/>
            <w:vAlign w:val="center"/>
          </w:tcPr>
          <w:p w14:paraId="354D5330"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44,339</w:t>
            </w:r>
          </w:p>
        </w:tc>
        <w:tc>
          <w:tcPr>
            <w:tcW w:w="2619" w:type="dxa"/>
            <w:shd w:val="clear" w:color="auto" w:fill="auto"/>
            <w:vAlign w:val="center"/>
          </w:tcPr>
          <w:p w14:paraId="727D3831"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32,373</w:t>
            </w:r>
          </w:p>
        </w:tc>
      </w:tr>
      <w:tr w:rsidR="009F557E" w:rsidRPr="009F557E" w14:paraId="5A4C9A8C" w14:textId="77777777" w:rsidTr="009F557E">
        <w:tc>
          <w:tcPr>
            <w:tcW w:w="2619" w:type="dxa"/>
            <w:shd w:val="clear" w:color="auto" w:fill="auto"/>
          </w:tcPr>
          <w:p w14:paraId="15F31F0F"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Primary Mangrove Forest</w:t>
            </w:r>
          </w:p>
        </w:tc>
        <w:tc>
          <w:tcPr>
            <w:tcW w:w="2619" w:type="dxa"/>
            <w:shd w:val="clear" w:color="auto" w:fill="auto"/>
            <w:vAlign w:val="center"/>
          </w:tcPr>
          <w:p w14:paraId="2AFB4EE1"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2,796</w:t>
            </w:r>
          </w:p>
        </w:tc>
        <w:tc>
          <w:tcPr>
            <w:tcW w:w="2619" w:type="dxa"/>
            <w:shd w:val="clear" w:color="auto" w:fill="auto"/>
            <w:vAlign w:val="center"/>
          </w:tcPr>
          <w:p w14:paraId="060DCBB5"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1,777</w:t>
            </w:r>
          </w:p>
        </w:tc>
      </w:tr>
      <w:tr w:rsidR="009F557E" w:rsidRPr="009F557E" w14:paraId="744ACFD2" w14:textId="77777777" w:rsidTr="009F557E">
        <w:tc>
          <w:tcPr>
            <w:tcW w:w="2619" w:type="dxa"/>
            <w:shd w:val="clear" w:color="auto" w:fill="auto"/>
          </w:tcPr>
          <w:p w14:paraId="47D1C4C0"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Secondary Dry Land Forest</w:t>
            </w:r>
          </w:p>
        </w:tc>
        <w:tc>
          <w:tcPr>
            <w:tcW w:w="2619" w:type="dxa"/>
            <w:shd w:val="clear" w:color="auto" w:fill="auto"/>
            <w:vAlign w:val="center"/>
          </w:tcPr>
          <w:p w14:paraId="5575D610"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4,874,912</w:t>
            </w:r>
          </w:p>
        </w:tc>
        <w:tc>
          <w:tcPr>
            <w:tcW w:w="2619" w:type="dxa"/>
            <w:shd w:val="clear" w:color="auto" w:fill="auto"/>
            <w:vAlign w:val="center"/>
          </w:tcPr>
          <w:p w14:paraId="24A1F543"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4.287.854</w:t>
            </w:r>
          </w:p>
        </w:tc>
      </w:tr>
      <w:tr w:rsidR="009F557E" w:rsidRPr="009F557E" w14:paraId="4DA870D9" w14:textId="77777777" w:rsidTr="009F557E">
        <w:tc>
          <w:tcPr>
            <w:tcW w:w="2619" w:type="dxa"/>
            <w:shd w:val="clear" w:color="auto" w:fill="auto"/>
          </w:tcPr>
          <w:p w14:paraId="7513AC3D"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Secondary Swamp Forest</w:t>
            </w:r>
          </w:p>
        </w:tc>
        <w:tc>
          <w:tcPr>
            <w:tcW w:w="2619" w:type="dxa"/>
            <w:shd w:val="clear" w:color="auto" w:fill="auto"/>
            <w:vAlign w:val="center"/>
          </w:tcPr>
          <w:p w14:paraId="0EC3913B"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2,355,643</w:t>
            </w:r>
          </w:p>
        </w:tc>
        <w:tc>
          <w:tcPr>
            <w:tcW w:w="2619" w:type="dxa"/>
            <w:shd w:val="clear" w:color="auto" w:fill="auto"/>
            <w:vAlign w:val="center"/>
          </w:tcPr>
          <w:p w14:paraId="7FA73BA7"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1,706,985</w:t>
            </w:r>
          </w:p>
        </w:tc>
      </w:tr>
      <w:tr w:rsidR="009F557E" w:rsidRPr="009F557E" w14:paraId="2590E509" w14:textId="77777777" w:rsidTr="009F557E">
        <w:tc>
          <w:tcPr>
            <w:tcW w:w="2619" w:type="dxa"/>
            <w:shd w:val="clear" w:color="auto" w:fill="auto"/>
          </w:tcPr>
          <w:p w14:paraId="51FE2659"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Secondary Mangrove Forest</w:t>
            </w:r>
          </w:p>
        </w:tc>
        <w:tc>
          <w:tcPr>
            <w:tcW w:w="2619" w:type="dxa"/>
            <w:shd w:val="clear" w:color="auto" w:fill="auto"/>
            <w:vAlign w:val="center"/>
          </w:tcPr>
          <w:p w14:paraId="1E12054B"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21,940</w:t>
            </w:r>
          </w:p>
        </w:tc>
        <w:tc>
          <w:tcPr>
            <w:tcW w:w="2619" w:type="dxa"/>
            <w:shd w:val="clear" w:color="auto" w:fill="auto"/>
            <w:vAlign w:val="center"/>
          </w:tcPr>
          <w:p w14:paraId="3461C35F" w14:textId="77777777" w:rsidR="009F557E" w:rsidRPr="009F557E" w:rsidRDefault="009F557E" w:rsidP="003011B8">
            <w:pPr>
              <w:pStyle w:val="MDPI42tablebody"/>
              <w:spacing w:line="240" w:lineRule="auto"/>
              <w:rPr>
                <w:rFonts w:ascii="Minion Pro" w:hAnsi="Minion Pro"/>
              </w:rPr>
            </w:pPr>
            <w:r w:rsidRPr="009F557E">
              <w:rPr>
                <w:rFonts w:ascii="Minion Pro" w:hAnsi="Minion Pro"/>
              </w:rPr>
              <w:t>21,148</w:t>
            </w:r>
          </w:p>
        </w:tc>
      </w:tr>
      <w:tr w:rsidR="009F557E" w:rsidRPr="009F557E" w14:paraId="03A7E938" w14:textId="77777777" w:rsidTr="009F557E">
        <w:tc>
          <w:tcPr>
            <w:tcW w:w="2619" w:type="dxa"/>
            <w:shd w:val="clear" w:color="auto" w:fill="auto"/>
            <w:vAlign w:val="center"/>
          </w:tcPr>
          <w:p w14:paraId="42AF55B9" w14:textId="77777777" w:rsidR="009F557E" w:rsidRPr="009F557E" w:rsidRDefault="009F557E" w:rsidP="003011B8">
            <w:pPr>
              <w:pStyle w:val="MDPI42tablebody"/>
              <w:spacing w:line="240" w:lineRule="auto"/>
              <w:rPr>
                <w:rFonts w:ascii="Minion Pro" w:hAnsi="Minion Pro"/>
                <w:b/>
                <w:bCs/>
              </w:rPr>
            </w:pPr>
            <w:r w:rsidRPr="009F557E">
              <w:rPr>
                <w:rFonts w:ascii="Minion Pro" w:hAnsi="Minion Pro"/>
                <w:b/>
                <w:bCs/>
              </w:rPr>
              <w:t>Total</w:t>
            </w:r>
          </w:p>
        </w:tc>
        <w:tc>
          <w:tcPr>
            <w:tcW w:w="2619" w:type="dxa"/>
            <w:shd w:val="clear" w:color="auto" w:fill="auto"/>
          </w:tcPr>
          <w:p w14:paraId="5B7870AC" w14:textId="77777777" w:rsidR="009F557E" w:rsidRPr="009F557E" w:rsidRDefault="009F557E" w:rsidP="003011B8">
            <w:pPr>
              <w:pStyle w:val="MDPI42tablebody"/>
              <w:spacing w:line="240" w:lineRule="auto"/>
              <w:rPr>
                <w:rFonts w:ascii="Minion Pro" w:hAnsi="Minion Pro"/>
                <w:b/>
                <w:bCs/>
              </w:rPr>
            </w:pPr>
            <w:r w:rsidRPr="009F557E">
              <w:rPr>
                <w:rFonts w:ascii="Minion Pro" w:hAnsi="Minion Pro"/>
                <w:b/>
                <w:bCs/>
              </w:rPr>
              <w:t>8,504,029</w:t>
            </w:r>
          </w:p>
        </w:tc>
        <w:tc>
          <w:tcPr>
            <w:tcW w:w="2619" w:type="dxa"/>
            <w:shd w:val="clear" w:color="auto" w:fill="auto"/>
          </w:tcPr>
          <w:p w14:paraId="368767DA" w14:textId="77777777" w:rsidR="009F557E" w:rsidRPr="009F557E" w:rsidRDefault="009F557E" w:rsidP="003011B8">
            <w:pPr>
              <w:pStyle w:val="MDPI42tablebody"/>
              <w:spacing w:line="240" w:lineRule="auto"/>
              <w:rPr>
                <w:rFonts w:ascii="Minion Pro" w:hAnsi="Minion Pro"/>
                <w:b/>
                <w:bCs/>
              </w:rPr>
            </w:pPr>
            <w:r w:rsidRPr="009F557E">
              <w:rPr>
                <w:rFonts w:ascii="Minion Pro" w:hAnsi="Minion Pro"/>
                <w:b/>
                <w:bCs/>
              </w:rPr>
              <w:t>7,108,917</w:t>
            </w:r>
          </w:p>
        </w:tc>
      </w:tr>
    </w:tbl>
    <w:p w14:paraId="11BED780" w14:textId="77777777" w:rsidR="008B7539" w:rsidRDefault="008B7539" w:rsidP="008B7539">
      <w:pPr>
        <w:spacing w:after="0" w:line="360" w:lineRule="auto"/>
        <w:ind w:firstLine="720"/>
        <w:jc w:val="both"/>
        <w:rPr>
          <w:rFonts w:ascii="Minion Pro" w:hAnsi="Minion Pro"/>
          <w:sz w:val="20"/>
          <w:szCs w:val="20"/>
        </w:rPr>
      </w:pPr>
    </w:p>
    <w:p w14:paraId="6BB09CD9" w14:textId="465A5014" w:rsidR="008B7539" w:rsidRPr="008B7539" w:rsidRDefault="008B7539" w:rsidP="008B7539">
      <w:pPr>
        <w:spacing w:after="0" w:line="360" w:lineRule="auto"/>
        <w:ind w:firstLine="720"/>
        <w:jc w:val="both"/>
        <w:rPr>
          <w:rFonts w:ascii="Minion Pro" w:hAnsi="Minion Pro" w:cs="Times New Roman"/>
          <w:sz w:val="20"/>
          <w:szCs w:val="20"/>
          <w:lang w:val="sv-SE"/>
        </w:rPr>
      </w:pPr>
      <w:r w:rsidRPr="008B7539">
        <w:rPr>
          <w:rFonts w:ascii="Minion Pro" w:hAnsi="Minion Pro"/>
          <w:sz w:val="20"/>
          <w:szCs w:val="20"/>
        </w:rPr>
        <w:t xml:space="preserve">Considering the rise and the down of the trend, deforestation in Central Kalimantan could categorized into decrease period and increase period. Decreased era occurred in period 2006 – 2012, 2013 – 2014, 2015 – 2016 and 2018 – 2020. On other hand, </w:t>
      </w:r>
      <w:r w:rsidRPr="008B7539">
        <w:rPr>
          <w:rFonts w:ascii="Minion Pro" w:hAnsi="Minion Pro"/>
          <w:b/>
          <w:bCs/>
          <w:sz w:val="20"/>
          <w:szCs w:val="20"/>
        </w:rPr>
        <w:t xml:space="preserve">Figure 2 </w:t>
      </w:r>
      <w:r w:rsidRPr="008B7539">
        <w:rPr>
          <w:rFonts w:ascii="Minion Pro" w:hAnsi="Minion Pro"/>
          <w:sz w:val="20"/>
          <w:szCs w:val="20"/>
        </w:rPr>
        <w:t>shows</w:t>
      </w:r>
      <w:r w:rsidRPr="008B7539">
        <w:rPr>
          <w:rFonts w:ascii="Minion Pro" w:hAnsi="Minion Pro"/>
          <w:b/>
          <w:bCs/>
          <w:sz w:val="20"/>
          <w:szCs w:val="20"/>
        </w:rPr>
        <w:t xml:space="preserve"> </w:t>
      </w:r>
      <w:r w:rsidRPr="008B7539">
        <w:rPr>
          <w:rFonts w:ascii="Minion Pro" w:hAnsi="Minion Pro"/>
          <w:sz w:val="20"/>
          <w:szCs w:val="20"/>
        </w:rPr>
        <w:t xml:space="preserve">increasing trends take place in 2012 – 2013, 2014 – 2015, and 2016 – 2018. Interesting phenomena occurred between 2019 – 2020 where deforestation rate recorded negative 35,812 ha. This indicated that between this period covered natural forest is increasing. </w:t>
      </w:r>
      <w:r w:rsidRPr="008B7539">
        <w:rPr>
          <w:rFonts w:ascii="Minion Pro" w:hAnsi="Minion Pro"/>
          <w:bCs/>
          <w:sz w:val="20"/>
          <w:szCs w:val="20"/>
        </w:rPr>
        <w:t>This trend of deforestation continues to decline until 2019-2020 due to various causes, both anthropogenic, natural and government policies.</w:t>
      </w:r>
    </w:p>
    <w:p w14:paraId="46C7710C" w14:textId="1614C77E" w:rsidR="008B7539" w:rsidRDefault="00C17F29" w:rsidP="00766F56">
      <w:pPr>
        <w:spacing w:after="0" w:line="360" w:lineRule="auto"/>
        <w:jc w:val="both"/>
        <w:rPr>
          <w:noProof/>
        </w:rPr>
      </w:pPr>
      <w:r>
        <w:rPr>
          <w:noProof/>
        </w:rPr>
        <w:lastRenderedPageBreak/>
        <w:pict w14:anchorId="44F290A0">
          <v:shape id="Picture 2" o:spid="_x0000_i1027" type="#_x0000_t75" alt="A graph with a red line and a line&#10;&#10;Description automatically generated" style="width:430pt;height:208pt;visibility:visible;mso-wrap-style:square">
            <v:imagedata r:id="rId15" o:title="A graph with a red line and a line&#10;&#10;Description automatically generated"/>
          </v:shape>
        </w:pict>
      </w:r>
    </w:p>
    <w:p w14:paraId="407B88D0" w14:textId="51A51C56" w:rsidR="008B7539" w:rsidRPr="008B7539" w:rsidRDefault="008B7539" w:rsidP="008B7539">
      <w:pPr>
        <w:spacing w:after="0" w:line="360" w:lineRule="auto"/>
        <w:jc w:val="center"/>
        <w:rPr>
          <w:rFonts w:ascii="Minion Pro" w:hAnsi="Minion Pro" w:cs="Times New Roman"/>
          <w:sz w:val="20"/>
          <w:szCs w:val="20"/>
          <w:lang w:val="sv-SE"/>
        </w:rPr>
      </w:pPr>
      <w:r w:rsidRPr="008B7539">
        <w:rPr>
          <w:rFonts w:ascii="Minion Pro" w:hAnsi="Minion Pro"/>
          <w:b/>
          <w:sz w:val="20"/>
          <w:szCs w:val="20"/>
        </w:rPr>
        <w:t xml:space="preserve">Figure 2. </w:t>
      </w:r>
      <w:r w:rsidRPr="008B7539">
        <w:rPr>
          <w:rFonts w:ascii="Minion Pro" w:hAnsi="Minion Pro"/>
          <w:bCs/>
          <w:sz w:val="20"/>
          <w:szCs w:val="20"/>
        </w:rPr>
        <w:t>The trend of deforestation in Central Kalimantan, Indonesia</w:t>
      </w:r>
    </w:p>
    <w:p w14:paraId="482FD51C" w14:textId="33BE963E" w:rsidR="008B7539" w:rsidRPr="008B7539" w:rsidRDefault="008B7539" w:rsidP="008B7539">
      <w:pPr>
        <w:pStyle w:val="MDPI31text"/>
        <w:spacing w:before="240" w:after="120"/>
        <w:ind w:left="0" w:firstLine="0"/>
        <w:jc w:val="center"/>
        <w:rPr>
          <w:rFonts w:ascii="Minion Pro" w:hAnsi="Minion Pro"/>
          <w:szCs w:val="20"/>
        </w:rPr>
      </w:pPr>
      <w:r w:rsidRPr="008B7539">
        <w:rPr>
          <w:rFonts w:ascii="Minion Pro" w:hAnsi="Minion Pro"/>
          <w:szCs w:val="20"/>
        </w:rPr>
        <w:t>Table 3. The rate of annual deforestation between 2016-2020 (in hectares)</w:t>
      </w:r>
    </w:p>
    <w:tbl>
      <w:tblPr>
        <w:tblW w:w="7857" w:type="dxa"/>
        <w:tblInd w:w="70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8B7539" w:rsidRPr="008B7539" w14:paraId="484B6803" w14:textId="77777777" w:rsidTr="008B7539">
        <w:tc>
          <w:tcPr>
            <w:tcW w:w="2619" w:type="dxa"/>
            <w:tcBorders>
              <w:bottom w:val="single" w:sz="4" w:space="0" w:color="auto"/>
            </w:tcBorders>
            <w:shd w:val="clear" w:color="auto" w:fill="auto"/>
          </w:tcPr>
          <w:p w14:paraId="6E0F7A1F" w14:textId="77777777" w:rsidR="008B7539" w:rsidRPr="008B7539" w:rsidRDefault="008B7539" w:rsidP="003011B8">
            <w:pPr>
              <w:pStyle w:val="MDPI42tablebody"/>
              <w:spacing w:line="240" w:lineRule="auto"/>
              <w:rPr>
                <w:rFonts w:ascii="Minion Pro" w:hAnsi="Minion Pro"/>
                <w:b/>
                <w:bCs/>
                <w:snapToGrid/>
              </w:rPr>
            </w:pPr>
            <w:r w:rsidRPr="008B7539">
              <w:rPr>
                <w:rFonts w:ascii="Minion Pro" w:hAnsi="Minion Pro"/>
                <w:b/>
                <w:bCs/>
              </w:rPr>
              <w:t>Type of Forest</w:t>
            </w:r>
          </w:p>
        </w:tc>
        <w:tc>
          <w:tcPr>
            <w:tcW w:w="2619" w:type="dxa"/>
            <w:tcBorders>
              <w:bottom w:val="single" w:sz="4" w:space="0" w:color="auto"/>
            </w:tcBorders>
            <w:shd w:val="clear" w:color="auto" w:fill="auto"/>
          </w:tcPr>
          <w:p w14:paraId="62CCE721" w14:textId="77777777" w:rsidR="008B7539" w:rsidRPr="008B7539" w:rsidRDefault="008B7539" w:rsidP="003011B8">
            <w:pPr>
              <w:pStyle w:val="MDPI42tablebody"/>
              <w:spacing w:line="240" w:lineRule="auto"/>
              <w:rPr>
                <w:rFonts w:ascii="Minion Pro" w:hAnsi="Minion Pro"/>
                <w:b/>
                <w:bCs/>
                <w:snapToGrid/>
              </w:rPr>
            </w:pPr>
            <w:r w:rsidRPr="008B7539">
              <w:rPr>
                <w:rFonts w:ascii="Minion Pro" w:hAnsi="Minion Pro"/>
                <w:b/>
                <w:bCs/>
              </w:rPr>
              <w:t>Deforestation (ha yr-1)</w:t>
            </w:r>
          </w:p>
        </w:tc>
        <w:tc>
          <w:tcPr>
            <w:tcW w:w="2619" w:type="dxa"/>
            <w:tcBorders>
              <w:bottom w:val="single" w:sz="4" w:space="0" w:color="auto"/>
            </w:tcBorders>
            <w:shd w:val="clear" w:color="auto" w:fill="auto"/>
          </w:tcPr>
          <w:p w14:paraId="69CBBE2B" w14:textId="77777777" w:rsidR="008B7539" w:rsidRPr="008B7539" w:rsidRDefault="008B7539" w:rsidP="003011B8">
            <w:pPr>
              <w:pStyle w:val="MDPI42tablebody"/>
              <w:spacing w:line="240" w:lineRule="auto"/>
              <w:rPr>
                <w:rFonts w:ascii="Minion Pro" w:hAnsi="Minion Pro"/>
                <w:b/>
                <w:bCs/>
                <w:snapToGrid/>
              </w:rPr>
            </w:pPr>
            <w:r w:rsidRPr="008B7539">
              <w:rPr>
                <w:rFonts w:ascii="Minion Pro" w:hAnsi="Minion Pro"/>
                <w:b/>
                <w:bCs/>
              </w:rPr>
              <w:t>SE (ha yr-1)</w:t>
            </w:r>
          </w:p>
        </w:tc>
      </w:tr>
      <w:tr w:rsidR="008B7539" w:rsidRPr="008B7539" w14:paraId="3875842D" w14:textId="77777777" w:rsidTr="008B7539">
        <w:tc>
          <w:tcPr>
            <w:tcW w:w="2619" w:type="dxa"/>
            <w:shd w:val="clear" w:color="auto" w:fill="auto"/>
          </w:tcPr>
          <w:p w14:paraId="0FE2269D"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Primary Dry Land Forest</w:t>
            </w:r>
          </w:p>
        </w:tc>
        <w:tc>
          <w:tcPr>
            <w:tcW w:w="2619" w:type="dxa"/>
            <w:shd w:val="clear" w:color="auto" w:fill="auto"/>
            <w:vAlign w:val="center"/>
          </w:tcPr>
          <w:p w14:paraId="71F0219C"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312.74</w:t>
            </w:r>
          </w:p>
        </w:tc>
        <w:tc>
          <w:tcPr>
            <w:tcW w:w="2619" w:type="dxa"/>
            <w:shd w:val="clear" w:color="auto" w:fill="auto"/>
            <w:vAlign w:val="center"/>
          </w:tcPr>
          <w:p w14:paraId="24464FF1"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96.86</w:t>
            </w:r>
          </w:p>
        </w:tc>
      </w:tr>
      <w:tr w:rsidR="008B7539" w:rsidRPr="008B7539" w14:paraId="3A05984D" w14:textId="77777777" w:rsidTr="008B7539">
        <w:tc>
          <w:tcPr>
            <w:tcW w:w="2619" w:type="dxa"/>
            <w:shd w:val="clear" w:color="auto" w:fill="auto"/>
          </w:tcPr>
          <w:p w14:paraId="0F5C91F6"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Primary Swamp Forest</w:t>
            </w:r>
          </w:p>
        </w:tc>
        <w:tc>
          <w:tcPr>
            <w:tcW w:w="2619" w:type="dxa"/>
            <w:shd w:val="clear" w:color="auto" w:fill="auto"/>
            <w:vAlign w:val="center"/>
          </w:tcPr>
          <w:p w14:paraId="6D583526"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976.08</w:t>
            </w:r>
          </w:p>
        </w:tc>
        <w:tc>
          <w:tcPr>
            <w:tcW w:w="2619" w:type="dxa"/>
            <w:shd w:val="clear" w:color="auto" w:fill="auto"/>
            <w:vAlign w:val="center"/>
          </w:tcPr>
          <w:p w14:paraId="6BFBE824"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490.46</w:t>
            </w:r>
          </w:p>
        </w:tc>
      </w:tr>
      <w:tr w:rsidR="008B7539" w:rsidRPr="008B7539" w14:paraId="180F7F5E" w14:textId="77777777" w:rsidTr="008B7539">
        <w:tc>
          <w:tcPr>
            <w:tcW w:w="2619" w:type="dxa"/>
            <w:shd w:val="clear" w:color="auto" w:fill="auto"/>
          </w:tcPr>
          <w:p w14:paraId="03B0991E"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Primary Mangrove Forest</w:t>
            </w:r>
          </w:p>
        </w:tc>
        <w:tc>
          <w:tcPr>
            <w:tcW w:w="2619" w:type="dxa"/>
            <w:shd w:val="clear" w:color="auto" w:fill="auto"/>
            <w:vAlign w:val="center"/>
          </w:tcPr>
          <w:p w14:paraId="28EED0E4"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7.53</w:t>
            </w:r>
          </w:p>
        </w:tc>
        <w:tc>
          <w:tcPr>
            <w:tcW w:w="2619" w:type="dxa"/>
            <w:shd w:val="clear" w:color="auto" w:fill="auto"/>
            <w:vAlign w:val="center"/>
          </w:tcPr>
          <w:p w14:paraId="6CD08F1F"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6.56</w:t>
            </w:r>
          </w:p>
        </w:tc>
      </w:tr>
      <w:tr w:rsidR="008B7539" w:rsidRPr="008B7539" w14:paraId="514DD43D" w14:textId="77777777" w:rsidTr="008B7539">
        <w:tc>
          <w:tcPr>
            <w:tcW w:w="2619" w:type="dxa"/>
            <w:shd w:val="clear" w:color="auto" w:fill="auto"/>
          </w:tcPr>
          <w:p w14:paraId="2595EA3A"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Secondary Dry Land Forest</w:t>
            </w:r>
          </w:p>
        </w:tc>
        <w:tc>
          <w:tcPr>
            <w:tcW w:w="2619" w:type="dxa"/>
            <w:shd w:val="clear" w:color="auto" w:fill="auto"/>
            <w:vAlign w:val="center"/>
          </w:tcPr>
          <w:p w14:paraId="03478BF0"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55,938.56</w:t>
            </w:r>
          </w:p>
        </w:tc>
        <w:tc>
          <w:tcPr>
            <w:tcW w:w="2619" w:type="dxa"/>
            <w:shd w:val="clear" w:color="auto" w:fill="auto"/>
            <w:vAlign w:val="center"/>
          </w:tcPr>
          <w:p w14:paraId="6AD039FF"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11,125.25</w:t>
            </w:r>
          </w:p>
        </w:tc>
      </w:tr>
      <w:tr w:rsidR="008B7539" w:rsidRPr="008B7539" w14:paraId="391CD772" w14:textId="77777777" w:rsidTr="008B7539">
        <w:tc>
          <w:tcPr>
            <w:tcW w:w="2619" w:type="dxa"/>
            <w:shd w:val="clear" w:color="auto" w:fill="auto"/>
          </w:tcPr>
          <w:p w14:paraId="31D40898"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Secondary Swamp Forest</w:t>
            </w:r>
          </w:p>
        </w:tc>
        <w:tc>
          <w:tcPr>
            <w:tcW w:w="2619" w:type="dxa"/>
            <w:shd w:val="clear" w:color="auto" w:fill="auto"/>
            <w:vAlign w:val="center"/>
          </w:tcPr>
          <w:p w14:paraId="2E5A804B"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902.61</w:t>
            </w:r>
          </w:p>
        </w:tc>
        <w:tc>
          <w:tcPr>
            <w:tcW w:w="2619" w:type="dxa"/>
            <w:shd w:val="clear" w:color="auto" w:fill="auto"/>
            <w:vAlign w:val="center"/>
          </w:tcPr>
          <w:p w14:paraId="60F88540"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262.97</w:t>
            </w:r>
          </w:p>
        </w:tc>
      </w:tr>
      <w:tr w:rsidR="008B7539" w:rsidRPr="008B7539" w14:paraId="2A55C8B7" w14:textId="77777777" w:rsidTr="008B7539">
        <w:tc>
          <w:tcPr>
            <w:tcW w:w="2619" w:type="dxa"/>
            <w:shd w:val="clear" w:color="auto" w:fill="auto"/>
          </w:tcPr>
          <w:p w14:paraId="2281F92C"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Secondary Mangrove Forest</w:t>
            </w:r>
          </w:p>
        </w:tc>
        <w:tc>
          <w:tcPr>
            <w:tcW w:w="2619" w:type="dxa"/>
            <w:shd w:val="clear" w:color="auto" w:fill="auto"/>
            <w:vAlign w:val="center"/>
          </w:tcPr>
          <w:p w14:paraId="6F40CEC5"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59,317.81</w:t>
            </w:r>
          </w:p>
        </w:tc>
        <w:tc>
          <w:tcPr>
            <w:tcW w:w="2619" w:type="dxa"/>
            <w:shd w:val="clear" w:color="auto" w:fill="auto"/>
            <w:vAlign w:val="center"/>
          </w:tcPr>
          <w:p w14:paraId="244947D7"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11,574.10</w:t>
            </w:r>
          </w:p>
        </w:tc>
      </w:tr>
      <w:tr w:rsidR="008B7539" w:rsidRPr="008B7539" w14:paraId="05EFE8A5" w14:textId="77777777" w:rsidTr="008B7539">
        <w:tc>
          <w:tcPr>
            <w:tcW w:w="2619" w:type="dxa"/>
            <w:shd w:val="clear" w:color="auto" w:fill="auto"/>
            <w:vAlign w:val="center"/>
          </w:tcPr>
          <w:p w14:paraId="3801E481" w14:textId="77777777" w:rsidR="008B7539" w:rsidRPr="008B7539" w:rsidRDefault="008B7539" w:rsidP="003011B8">
            <w:pPr>
              <w:pStyle w:val="MDPI42tablebody"/>
              <w:spacing w:line="240" w:lineRule="auto"/>
              <w:rPr>
                <w:rFonts w:ascii="Minion Pro" w:hAnsi="Minion Pro"/>
                <w:b/>
                <w:bCs/>
              </w:rPr>
            </w:pPr>
            <w:r w:rsidRPr="008B7539">
              <w:rPr>
                <w:rFonts w:ascii="Minion Pro" w:hAnsi="Minion Pro"/>
                <w:b/>
                <w:bCs/>
              </w:rPr>
              <w:t>Total</w:t>
            </w:r>
          </w:p>
        </w:tc>
        <w:tc>
          <w:tcPr>
            <w:tcW w:w="2619" w:type="dxa"/>
            <w:shd w:val="clear" w:color="auto" w:fill="auto"/>
          </w:tcPr>
          <w:p w14:paraId="3BA80267" w14:textId="77777777" w:rsidR="008B7539" w:rsidRPr="008B7539" w:rsidRDefault="008B7539" w:rsidP="003011B8">
            <w:pPr>
              <w:pStyle w:val="MDPI42tablebody"/>
              <w:spacing w:line="240" w:lineRule="auto"/>
              <w:rPr>
                <w:rFonts w:ascii="Minion Pro" w:hAnsi="Minion Pro"/>
                <w:b/>
                <w:bCs/>
              </w:rPr>
            </w:pPr>
            <w:r w:rsidRPr="008B7539">
              <w:rPr>
                <w:rFonts w:ascii="Minion Pro" w:hAnsi="Minion Pro"/>
                <w:b/>
                <w:bCs/>
              </w:rPr>
              <w:t>117,455.33</w:t>
            </w:r>
          </w:p>
        </w:tc>
        <w:tc>
          <w:tcPr>
            <w:tcW w:w="2619" w:type="dxa"/>
            <w:shd w:val="clear" w:color="auto" w:fill="auto"/>
          </w:tcPr>
          <w:p w14:paraId="37710595" w14:textId="77777777" w:rsidR="008B7539" w:rsidRPr="008B7539" w:rsidRDefault="008B7539" w:rsidP="003011B8">
            <w:pPr>
              <w:pStyle w:val="MDPI42tablebody"/>
              <w:spacing w:line="240" w:lineRule="auto"/>
              <w:rPr>
                <w:rFonts w:ascii="Minion Pro" w:hAnsi="Minion Pro"/>
                <w:b/>
                <w:bCs/>
              </w:rPr>
            </w:pPr>
            <w:r w:rsidRPr="008B7539">
              <w:rPr>
                <w:rFonts w:ascii="Minion Pro" w:hAnsi="Minion Pro"/>
                <w:b/>
                <w:bCs/>
              </w:rPr>
              <w:t>23,556.20</w:t>
            </w:r>
          </w:p>
        </w:tc>
      </w:tr>
    </w:tbl>
    <w:p w14:paraId="5FBCA84E" w14:textId="77777777" w:rsidR="008B7539" w:rsidRPr="008B7539" w:rsidRDefault="008B7539" w:rsidP="008B7539">
      <w:pPr>
        <w:pStyle w:val="MDPI31text"/>
        <w:ind w:left="0" w:firstLine="720"/>
        <w:rPr>
          <w:rFonts w:ascii="Minion Pro" w:hAnsi="Minion Pro"/>
          <w:i/>
          <w:iCs/>
          <w:szCs w:val="20"/>
        </w:rPr>
      </w:pPr>
      <w:r w:rsidRPr="008B7539">
        <w:rPr>
          <w:rFonts w:ascii="Minion Pro" w:hAnsi="Minion Pro"/>
          <w:i/>
          <w:iCs/>
          <w:szCs w:val="20"/>
        </w:rPr>
        <w:t>Note: SE (Standard Error)</w:t>
      </w:r>
    </w:p>
    <w:p w14:paraId="76F85713" w14:textId="77777777" w:rsidR="008B7539" w:rsidRDefault="008B7539" w:rsidP="008B7539">
      <w:pPr>
        <w:pStyle w:val="MDPI31text"/>
        <w:ind w:left="0" w:firstLine="720"/>
        <w:rPr>
          <w:rFonts w:ascii="Minion Pro" w:hAnsi="Minion Pro"/>
          <w:szCs w:val="20"/>
        </w:rPr>
      </w:pPr>
    </w:p>
    <w:p w14:paraId="58194E34" w14:textId="77777777" w:rsidR="008B7539" w:rsidRDefault="008B7539" w:rsidP="008B7539">
      <w:pPr>
        <w:pStyle w:val="MDPI31text"/>
        <w:spacing w:line="360" w:lineRule="auto"/>
        <w:ind w:left="0" w:firstLine="720"/>
        <w:rPr>
          <w:rFonts w:ascii="Minion Pro" w:hAnsi="Minion Pro"/>
          <w:szCs w:val="20"/>
        </w:rPr>
      </w:pPr>
      <w:r w:rsidRPr="008B7539">
        <w:rPr>
          <w:rFonts w:ascii="Minion Pro" w:hAnsi="Minion Pro"/>
          <w:szCs w:val="20"/>
        </w:rPr>
        <w:t xml:space="preserve">Total rate of deforestation in Central Kalimantan was 117,445 ha/yr. Usually the process of deforestation initiates forest degradation, the change from primary forest into secondary forest. When the detriment continues, the secondary forest converts into other land covers such as plantation and agriculture (see in </w:t>
      </w:r>
      <w:r w:rsidRPr="008B7539">
        <w:rPr>
          <w:rFonts w:ascii="Minion Pro" w:hAnsi="Minion Pro"/>
          <w:b/>
          <w:bCs/>
          <w:szCs w:val="20"/>
        </w:rPr>
        <w:t>Table 3</w:t>
      </w:r>
      <w:r w:rsidRPr="008B7539">
        <w:rPr>
          <w:rFonts w:ascii="Minion Pro" w:hAnsi="Minion Pro"/>
          <w:szCs w:val="20"/>
        </w:rPr>
        <w:t>). However, deforestation also could happen from primary forest that change into other land cover type. Our analysis found that dry primary forest and swamp primary forest experienced deforestation. All natural forest criteria, mangrove forest experienced a relatively small rate of deforestation.</w:t>
      </w:r>
    </w:p>
    <w:p w14:paraId="73F0E54A" w14:textId="77777777" w:rsidR="008B7539" w:rsidRDefault="008B7539" w:rsidP="008B7539">
      <w:pPr>
        <w:pStyle w:val="MDPI31text"/>
        <w:spacing w:line="360" w:lineRule="auto"/>
        <w:ind w:left="0" w:firstLine="720"/>
        <w:rPr>
          <w:rFonts w:ascii="Minion Pro" w:hAnsi="Minion Pro"/>
          <w:szCs w:val="20"/>
        </w:rPr>
      </w:pPr>
      <w:r w:rsidRPr="008B7539">
        <w:rPr>
          <w:rFonts w:ascii="Minion Pro" w:hAnsi="Minion Pro"/>
          <w:szCs w:val="20"/>
        </w:rPr>
        <w:t>Analysis on the change of land cover, this research found that natural forest in Central Kalimantan had converted into 15 land use types. The dominant land use resulting from deforestation were shrubs, open area, plantations, and agriculture land. Besides that, natural forest clearing especially in swamp forest generates swamp area and water body such as lake and water pond.</w:t>
      </w:r>
    </w:p>
    <w:p w14:paraId="6C9E8B34" w14:textId="394A56CE" w:rsidR="008B7539" w:rsidRPr="008B7539" w:rsidRDefault="008B7539" w:rsidP="008B7539">
      <w:pPr>
        <w:pStyle w:val="MDPI31text"/>
        <w:spacing w:line="360" w:lineRule="auto"/>
        <w:ind w:left="0" w:firstLine="720"/>
        <w:rPr>
          <w:rFonts w:ascii="Minion Pro" w:hAnsi="Minion Pro"/>
          <w:szCs w:val="20"/>
        </w:rPr>
      </w:pPr>
      <w:r w:rsidRPr="008B7539">
        <w:rPr>
          <w:rFonts w:ascii="Minion Pro" w:hAnsi="Minion Pro"/>
          <w:szCs w:val="20"/>
        </w:rPr>
        <w:t xml:space="preserve">The average amount of deforestation in each forest category is presented in </w:t>
      </w:r>
      <w:r w:rsidRPr="008B7539">
        <w:rPr>
          <w:rFonts w:ascii="Minion Pro" w:hAnsi="Minion Pro"/>
          <w:b/>
          <w:bCs/>
          <w:szCs w:val="20"/>
        </w:rPr>
        <w:t>Table 4</w:t>
      </w:r>
      <w:r w:rsidRPr="008B7539">
        <w:rPr>
          <w:rFonts w:ascii="Minion Pro" w:hAnsi="Minion Pro"/>
          <w:szCs w:val="20"/>
        </w:rPr>
        <w:t xml:space="preserve">. As we can see from that table swamp secondary forest and dry secondary forest had the highest deforestation rate 59,317.81 ha/year and 55,938.56 ha/year respectively. Mangrove forests suffered less from deforestation because mangrove </w:t>
      </w:r>
      <w:r w:rsidRPr="008B7539">
        <w:rPr>
          <w:rFonts w:ascii="Minion Pro" w:hAnsi="Minion Pro"/>
          <w:szCs w:val="20"/>
        </w:rPr>
        <w:lastRenderedPageBreak/>
        <w:t xml:space="preserve">ecosystem was less favorable for plantations. Large scale oil palm plantations or forest plantations require fertile soil with sufficient water supply, thus low land and dry land forest are favorable. </w:t>
      </w:r>
    </w:p>
    <w:p w14:paraId="194F3E7B" w14:textId="15286832" w:rsidR="008B7539" w:rsidRPr="008B7539" w:rsidRDefault="008B7539" w:rsidP="008B7539">
      <w:pPr>
        <w:pStyle w:val="MDPI31text"/>
        <w:spacing w:before="240" w:after="120"/>
        <w:ind w:left="0" w:firstLine="0"/>
        <w:jc w:val="center"/>
        <w:rPr>
          <w:rFonts w:ascii="Minion Pro" w:hAnsi="Minion Pro"/>
          <w:szCs w:val="20"/>
        </w:rPr>
      </w:pPr>
      <w:r w:rsidRPr="008B7539">
        <w:rPr>
          <w:rFonts w:ascii="Minion Pro" w:hAnsi="Minion Pro"/>
          <w:szCs w:val="20"/>
        </w:rPr>
        <w:t>Table 4. The land use type resulted from deforestation in Central Kalimantan, Indonesia</w:t>
      </w:r>
    </w:p>
    <w:tbl>
      <w:tblPr>
        <w:tblW w:w="7857" w:type="dxa"/>
        <w:tblInd w:w="70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995"/>
        <w:gridCol w:w="2243"/>
      </w:tblGrid>
      <w:tr w:rsidR="008B7539" w:rsidRPr="008B7539" w14:paraId="3C7D0E19" w14:textId="77777777" w:rsidTr="008B7539">
        <w:tc>
          <w:tcPr>
            <w:tcW w:w="2619" w:type="dxa"/>
            <w:tcBorders>
              <w:bottom w:val="single" w:sz="4" w:space="0" w:color="auto"/>
            </w:tcBorders>
            <w:shd w:val="clear" w:color="auto" w:fill="auto"/>
            <w:vAlign w:val="center"/>
          </w:tcPr>
          <w:p w14:paraId="101CC070" w14:textId="77777777" w:rsidR="008B7539" w:rsidRPr="008B7539" w:rsidRDefault="008B7539" w:rsidP="003011B8">
            <w:pPr>
              <w:pStyle w:val="MDPI42tablebody"/>
              <w:spacing w:line="240" w:lineRule="auto"/>
              <w:rPr>
                <w:rFonts w:ascii="Minion Pro" w:hAnsi="Minion Pro"/>
                <w:b/>
                <w:snapToGrid/>
              </w:rPr>
            </w:pPr>
            <w:r w:rsidRPr="008B7539">
              <w:rPr>
                <w:rFonts w:ascii="Minion Pro" w:hAnsi="Minion Pro"/>
                <w:b/>
                <w:snapToGrid/>
              </w:rPr>
              <w:t>Strata</w:t>
            </w:r>
          </w:p>
        </w:tc>
        <w:tc>
          <w:tcPr>
            <w:tcW w:w="2995" w:type="dxa"/>
            <w:tcBorders>
              <w:bottom w:val="single" w:sz="4" w:space="0" w:color="auto"/>
            </w:tcBorders>
            <w:shd w:val="clear" w:color="auto" w:fill="auto"/>
            <w:vAlign w:val="center"/>
          </w:tcPr>
          <w:p w14:paraId="3A0F54AA" w14:textId="77777777" w:rsidR="008B7539" w:rsidRPr="008B7539" w:rsidRDefault="008B7539" w:rsidP="003011B8">
            <w:pPr>
              <w:pStyle w:val="MDPI42tablebody"/>
              <w:spacing w:line="240" w:lineRule="auto"/>
              <w:rPr>
                <w:rFonts w:ascii="Minion Pro" w:hAnsi="Minion Pro"/>
                <w:b/>
                <w:snapToGrid/>
              </w:rPr>
            </w:pPr>
            <w:r w:rsidRPr="008B7539">
              <w:rPr>
                <w:rFonts w:ascii="Minion Pro" w:hAnsi="Minion Pro"/>
                <w:b/>
                <w:snapToGrid/>
              </w:rPr>
              <w:t>AD post deforestation (ha yr-1)</w:t>
            </w:r>
          </w:p>
        </w:tc>
        <w:tc>
          <w:tcPr>
            <w:tcW w:w="2243" w:type="dxa"/>
            <w:tcBorders>
              <w:bottom w:val="single" w:sz="4" w:space="0" w:color="auto"/>
            </w:tcBorders>
            <w:shd w:val="clear" w:color="auto" w:fill="auto"/>
            <w:vAlign w:val="center"/>
          </w:tcPr>
          <w:p w14:paraId="792FDEA3" w14:textId="77777777" w:rsidR="008B7539" w:rsidRPr="008B7539" w:rsidRDefault="008B7539" w:rsidP="003011B8">
            <w:pPr>
              <w:pStyle w:val="MDPI42tablebody"/>
              <w:spacing w:line="240" w:lineRule="auto"/>
              <w:rPr>
                <w:rFonts w:ascii="Minion Pro" w:hAnsi="Minion Pro"/>
                <w:b/>
                <w:snapToGrid/>
              </w:rPr>
            </w:pPr>
            <w:r w:rsidRPr="008B7539">
              <w:rPr>
                <w:rFonts w:ascii="Minion Pro" w:hAnsi="Minion Pro"/>
                <w:b/>
                <w:snapToGrid/>
              </w:rPr>
              <w:t>SE (ha yr-1)</w:t>
            </w:r>
          </w:p>
        </w:tc>
      </w:tr>
      <w:tr w:rsidR="008B7539" w:rsidRPr="008B7539" w14:paraId="29857ADB" w14:textId="77777777" w:rsidTr="008B7539">
        <w:tc>
          <w:tcPr>
            <w:tcW w:w="2619" w:type="dxa"/>
            <w:shd w:val="clear" w:color="auto" w:fill="auto"/>
          </w:tcPr>
          <w:p w14:paraId="2492AABA"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Port and Harbor</w:t>
            </w:r>
          </w:p>
        </w:tc>
        <w:tc>
          <w:tcPr>
            <w:tcW w:w="2995" w:type="dxa"/>
            <w:shd w:val="clear" w:color="auto" w:fill="auto"/>
          </w:tcPr>
          <w:p w14:paraId="29AC6CA6"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0.00</w:t>
            </w:r>
          </w:p>
        </w:tc>
        <w:tc>
          <w:tcPr>
            <w:tcW w:w="2243" w:type="dxa"/>
            <w:shd w:val="clear" w:color="auto" w:fill="auto"/>
          </w:tcPr>
          <w:p w14:paraId="56D0F64B"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0.00</w:t>
            </w:r>
          </w:p>
        </w:tc>
      </w:tr>
      <w:tr w:rsidR="008B7539" w:rsidRPr="008B7539" w14:paraId="748592AF" w14:textId="77777777" w:rsidTr="008B7539">
        <w:tc>
          <w:tcPr>
            <w:tcW w:w="2619" w:type="dxa"/>
            <w:shd w:val="clear" w:color="auto" w:fill="auto"/>
          </w:tcPr>
          <w:p w14:paraId="00C6F4B6"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Plantation forest</w:t>
            </w:r>
          </w:p>
        </w:tc>
        <w:tc>
          <w:tcPr>
            <w:tcW w:w="2995" w:type="dxa"/>
            <w:shd w:val="clear" w:color="auto" w:fill="auto"/>
          </w:tcPr>
          <w:p w14:paraId="6BA692BA"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1,369.55</w:t>
            </w:r>
          </w:p>
        </w:tc>
        <w:tc>
          <w:tcPr>
            <w:tcW w:w="2243" w:type="dxa"/>
            <w:shd w:val="clear" w:color="auto" w:fill="auto"/>
          </w:tcPr>
          <w:p w14:paraId="7057D4A4"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1,187.90</w:t>
            </w:r>
          </w:p>
        </w:tc>
      </w:tr>
      <w:tr w:rsidR="008B7539" w:rsidRPr="008B7539" w14:paraId="4D5035FB" w14:textId="77777777" w:rsidTr="008B7539">
        <w:tc>
          <w:tcPr>
            <w:tcW w:w="2619" w:type="dxa"/>
            <w:shd w:val="clear" w:color="auto" w:fill="auto"/>
          </w:tcPr>
          <w:p w14:paraId="43592E33"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Paddy Field</w:t>
            </w:r>
          </w:p>
        </w:tc>
        <w:tc>
          <w:tcPr>
            <w:tcW w:w="2995" w:type="dxa"/>
            <w:shd w:val="clear" w:color="auto" w:fill="auto"/>
          </w:tcPr>
          <w:p w14:paraId="4F4E2049"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35.87</w:t>
            </w:r>
          </w:p>
        </w:tc>
        <w:tc>
          <w:tcPr>
            <w:tcW w:w="2243" w:type="dxa"/>
            <w:shd w:val="clear" w:color="auto" w:fill="auto"/>
          </w:tcPr>
          <w:p w14:paraId="03396E7C"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22.95</w:t>
            </w:r>
          </w:p>
        </w:tc>
      </w:tr>
      <w:tr w:rsidR="008B7539" w:rsidRPr="008B7539" w14:paraId="76905889" w14:textId="77777777" w:rsidTr="008B7539">
        <w:tc>
          <w:tcPr>
            <w:tcW w:w="2619" w:type="dxa"/>
            <w:shd w:val="clear" w:color="auto" w:fill="auto"/>
          </w:tcPr>
          <w:p w14:paraId="1933BB1A"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Bare ground</w:t>
            </w:r>
          </w:p>
        </w:tc>
        <w:tc>
          <w:tcPr>
            <w:tcW w:w="2995" w:type="dxa"/>
            <w:shd w:val="clear" w:color="auto" w:fill="auto"/>
          </w:tcPr>
          <w:p w14:paraId="709D818D"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28,507.95</w:t>
            </w:r>
          </w:p>
        </w:tc>
        <w:tc>
          <w:tcPr>
            <w:tcW w:w="2243" w:type="dxa"/>
            <w:shd w:val="clear" w:color="auto" w:fill="auto"/>
          </w:tcPr>
          <w:p w14:paraId="657FE566"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10,588.18</w:t>
            </w:r>
          </w:p>
        </w:tc>
      </w:tr>
      <w:tr w:rsidR="008B7539" w:rsidRPr="008B7539" w14:paraId="7FFE1887" w14:textId="77777777" w:rsidTr="008B7539">
        <w:tc>
          <w:tcPr>
            <w:tcW w:w="2619" w:type="dxa"/>
            <w:shd w:val="clear" w:color="auto" w:fill="auto"/>
          </w:tcPr>
          <w:p w14:paraId="1AA181D9"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Savanna and Grasses</w:t>
            </w:r>
          </w:p>
        </w:tc>
        <w:tc>
          <w:tcPr>
            <w:tcW w:w="2995" w:type="dxa"/>
            <w:shd w:val="clear" w:color="auto" w:fill="auto"/>
          </w:tcPr>
          <w:p w14:paraId="40FF21E5"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0.00</w:t>
            </w:r>
          </w:p>
        </w:tc>
        <w:tc>
          <w:tcPr>
            <w:tcW w:w="2243" w:type="dxa"/>
            <w:shd w:val="clear" w:color="auto" w:fill="auto"/>
          </w:tcPr>
          <w:p w14:paraId="16C433A6"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0.00</w:t>
            </w:r>
          </w:p>
        </w:tc>
      </w:tr>
      <w:tr w:rsidR="008B7539" w:rsidRPr="008B7539" w14:paraId="11B566EA" w14:textId="77777777" w:rsidTr="008B7539">
        <w:tc>
          <w:tcPr>
            <w:tcW w:w="2619" w:type="dxa"/>
            <w:shd w:val="clear" w:color="auto" w:fill="auto"/>
          </w:tcPr>
          <w:p w14:paraId="52000035"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Settlement areas</w:t>
            </w:r>
          </w:p>
        </w:tc>
        <w:tc>
          <w:tcPr>
            <w:tcW w:w="2995" w:type="dxa"/>
            <w:shd w:val="clear" w:color="auto" w:fill="auto"/>
          </w:tcPr>
          <w:p w14:paraId="6514D32F"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90.96</w:t>
            </w:r>
          </w:p>
        </w:tc>
        <w:tc>
          <w:tcPr>
            <w:tcW w:w="2243" w:type="dxa"/>
            <w:shd w:val="clear" w:color="auto" w:fill="auto"/>
          </w:tcPr>
          <w:p w14:paraId="6AF69B6C"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83.04</w:t>
            </w:r>
          </w:p>
        </w:tc>
      </w:tr>
      <w:tr w:rsidR="008B7539" w:rsidRPr="008B7539" w14:paraId="0363BE8D" w14:textId="77777777" w:rsidTr="008B7539">
        <w:tc>
          <w:tcPr>
            <w:tcW w:w="2619" w:type="dxa"/>
            <w:shd w:val="clear" w:color="auto" w:fill="auto"/>
          </w:tcPr>
          <w:p w14:paraId="7739C90A"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Perennial crops</w:t>
            </w:r>
          </w:p>
        </w:tc>
        <w:tc>
          <w:tcPr>
            <w:tcW w:w="2995" w:type="dxa"/>
            <w:shd w:val="clear" w:color="auto" w:fill="auto"/>
          </w:tcPr>
          <w:p w14:paraId="7EE28103"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10,855.18</w:t>
            </w:r>
          </w:p>
        </w:tc>
        <w:tc>
          <w:tcPr>
            <w:tcW w:w="2243" w:type="dxa"/>
            <w:shd w:val="clear" w:color="auto" w:fill="auto"/>
          </w:tcPr>
          <w:p w14:paraId="527C3E02"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2,951.76</w:t>
            </w:r>
          </w:p>
        </w:tc>
      </w:tr>
      <w:tr w:rsidR="008B7539" w:rsidRPr="008B7539" w14:paraId="288C70A3" w14:textId="77777777" w:rsidTr="008B7539">
        <w:tc>
          <w:tcPr>
            <w:tcW w:w="2619" w:type="dxa"/>
            <w:shd w:val="clear" w:color="auto" w:fill="auto"/>
          </w:tcPr>
          <w:p w14:paraId="2491E950"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Mining areas</w:t>
            </w:r>
          </w:p>
        </w:tc>
        <w:tc>
          <w:tcPr>
            <w:tcW w:w="2995" w:type="dxa"/>
            <w:shd w:val="clear" w:color="auto" w:fill="auto"/>
          </w:tcPr>
          <w:p w14:paraId="0CB05D7C"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3,217.44</w:t>
            </w:r>
          </w:p>
        </w:tc>
        <w:tc>
          <w:tcPr>
            <w:tcW w:w="2243" w:type="dxa"/>
            <w:shd w:val="clear" w:color="auto" w:fill="auto"/>
          </w:tcPr>
          <w:p w14:paraId="64FF1318"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690.18</w:t>
            </w:r>
          </w:p>
        </w:tc>
      </w:tr>
      <w:tr w:rsidR="008B7539" w:rsidRPr="008B7539" w14:paraId="0DD51319" w14:textId="77777777" w:rsidTr="008B7539">
        <w:tc>
          <w:tcPr>
            <w:tcW w:w="2619" w:type="dxa"/>
            <w:shd w:val="clear" w:color="auto" w:fill="auto"/>
          </w:tcPr>
          <w:p w14:paraId="2EC9ECCA"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Dry cultivation</w:t>
            </w:r>
          </w:p>
        </w:tc>
        <w:tc>
          <w:tcPr>
            <w:tcW w:w="2995" w:type="dxa"/>
            <w:shd w:val="clear" w:color="auto" w:fill="auto"/>
          </w:tcPr>
          <w:p w14:paraId="138DD77A"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593.53</w:t>
            </w:r>
          </w:p>
        </w:tc>
        <w:tc>
          <w:tcPr>
            <w:tcW w:w="2243" w:type="dxa"/>
            <w:shd w:val="clear" w:color="auto" w:fill="auto"/>
          </w:tcPr>
          <w:p w14:paraId="439031D8"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290.78</w:t>
            </w:r>
          </w:p>
        </w:tc>
      </w:tr>
      <w:tr w:rsidR="008B7539" w:rsidRPr="008B7539" w14:paraId="1D5B3917" w14:textId="77777777" w:rsidTr="008B7539">
        <w:tc>
          <w:tcPr>
            <w:tcW w:w="2619" w:type="dxa"/>
            <w:shd w:val="clear" w:color="auto" w:fill="auto"/>
          </w:tcPr>
          <w:p w14:paraId="424A6193"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Dry cultivation and Shrub</w:t>
            </w:r>
          </w:p>
        </w:tc>
        <w:tc>
          <w:tcPr>
            <w:tcW w:w="2995" w:type="dxa"/>
            <w:shd w:val="clear" w:color="auto" w:fill="auto"/>
          </w:tcPr>
          <w:p w14:paraId="3A8E26C9"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10,624.07</w:t>
            </w:r>
          </w:p>
        </w:tc>
        <w:tc>
          <w:tcPr>
            <w:tcW w:w="2243" w:type="dxa"/>
            <w:shd w:val="clear" w:color="auto" w:fill="auto"/>
          </w:tcPr>
          <w:p w14:paraId="7A72B373"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5,016.19</w:t>
            </w:r>
          </w:p>
        </w:tc>
      </w:tr>
      <w:tr w:rsidR="008B7539" w:rsidRPr="008B7539" w14:paraId="4D063E1C" w14:textId="77777777" w:rsidTr="008B7539">
        <w:tc>
          <w:tcPr>
            <w:tcW w:w="2619" w:type="dxa"/>
            <w:shd w:val="clear" w:color="auto" w:fill="auto"/>
          </w:tcPr>
          <w:p w14:paraId="4FA9FA00"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Swamp</w:t>
            </w:r>
          </w:p>
        </w:tc>
        <w:tc>
          <w:tcPr>
            <w:tcW w:w="2995" w:type="dxa"/>
            <w:shd w:val="clear" w:color="auto" w:fill="auto"/>
          </w:tcPr>
          <w:p w14:paraId="46E8B940"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1,419.46</w:t>
            </w:r>
          </w:p>
        </w:tc>
        <w:tc>
          <w:tcPr>
            <w:tcW w:w="2243" w:type="dxa"/>
            <w:shd w:val="clear" w:color="auto" w:fill="auto"/>
          </w:tcPr>
          <w:p w14:paraId="6917B1A0"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294.19</w:t>
            </w:r>
          </w:p>
        </w:tc>
      </w:tr>
      <w:tr w:rsidR="008B7539" w:rsidRPr="008B7539" w14:paraId="4E5FDBE4" w14:textId="77777777" w:rsidTr="008B7539">
        <w:tc>
          <w:tcPr>
            <w:tcW w:w="2619" w:type="dxa"/>
            <w:shd w:val="clear" w:color="auto" w:fill="auto"/>
          </w:tcPr>
          <w:p w14:paraId="0389A319"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Shrub</w:t>
            </w:r>
          </w:p>
        </w:tc>
        <w:tc>
          <w:tcPr>
            <w:tcW w:w="2995" w:type="dxa"/>
            <w:shd w:val="clear" w:color="auto" w:fill="auto"/>
          </w:tcPr>
          <w:p w14:paraId="5242B146"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30,271.34</w:t>
            </w:r>
          </w:p>
        </w:tc>
        <w:tc>
          <w:tcPr>
            <w:tcW w:w="2243" w:type="dxa"/>
            <w:shd w:val="clear" w:color="auto" w:fill="auto"/>
          </w:tcPr>
          <w:p w14:paraId="6397B74C"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5,399.42</w:t>
            </w:r>
          </w:p>
        </w:tc>
      </w:tr>
      <w:tr w:rsidR="008B7539" w:rsidRPr="008B7539" w14:paraId="6EBE171E" w14:textId="77777777" w:rsidTr="008B7539">
        <w:tc>
          <w:tcPr>
            <w:tcW w:w="2619" w:type="dxa"/>
            <w:shd w:val="clear" w:color="auto" w:fill="auto"/>
          </w:tcPr>
          <w:p w14:paraId="4E838847"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Wetland Shrub</w:t>
            </w:r>
          </w:p>
        </w:tc>
        <w:tc>
          <w:tcPr>
            <w:tcW w:w="2995" w:type="dxa"/>
            <w:shd w:val="clear" w:color="auto" w:fill="auto"/>
          </w:tcPr>
          <w:p w14:paraId="270FEC74"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30,424.46</w:t>
            </w:r>
          </w:p>
        </w:tc>
        <w:tc>
          <w:tcPr>
            <w:tcW w:w="2243" w:type="dxa"/>
            <w:shd w:val="clear" w:color="auto" w:fill="auto"/>
          </w:tcPr>
          <w:p w14:paraId="28EEDDC2"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5,974.28</w:t>
            </w:r>
          </w:p>
        </w:tc>
      </w:tr>
      <w:tr w:rsidR="008B7539" w:rsidRPr="008B7539" w14:paraId="7AC4CD29" w14:textId="77777777" w:rsidTr="008B7539">
        <w:tc>
          <w:tcPr>
            <w:tcW w:w="2619" w:type="dxa"/>
            <w:shd w:val="clear" w:color="auto" w:fill="auto"/>
          </w:tcPr>
          <w:p w14:paraId="0D89CA38"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Fishpond/aquaculture</w:t>
            </w:r>
          </w:p>
        </w:tc>
        <w:tc>
          <w:tcPr>
            <w:tcW w:w="2995" w:type="dxa"/>
            <w:shd w:val="clear" w:color="auto" w:fill="auto"/>
          </w:tcPr>
          <w:p w14:paraId="7A1F849B"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5.13</w:t>
            </w:r>
          </w:p>
        </w:tc>
        <w:tc>
          <w:tcPr>
            <w:tcW w:w="2243" w:type="dxa"/>
            <w:shd w:val="clear" w:color="auto" w:fill="auto"/>
          </w:tcPr>
          <w:p w14:paraId="262F2C57"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5.06</w:t>
            </w:r>
          </w:p>
        </w:tc>
      </w:tr>
      <w:tr w:rsidR="008B7539" w:rsidRPr="008B7539" w14:paraId="73780662" w14:textId="77777777" w:rsidTr="008B7539">
        <w:tc>
          <w:tcPr>
            <w:tcW w:w="2619" w:type="dxa"/>
            <w:shd w:val="clear" w:color="auto" w:fill="auto"/>
          </w:tcPr>
          <w:p w14:paraId="6AFF89A4"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Transmigration Areas</w:t>
            </w:r>
          </w:p>
        </w:tc>
        <w:tc>
          <w:tcPr>
            <w:tcW w:w="2995" w:type="dxa"/>
            <w:shd w:val="clear" w:color="auto" w:fill="auto"/>
          </w:tcPr>
          <w:p w14:paraId="68503A35"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22.72</w:t>
            </w:r>
          </w:p>
        </w:tc>
        <w:tc>
          <w:tcPr>
            <w:tcW w:w="2243" w:type="dxa"/>
            <w:shd w:val="clear" w:color="auto" w:fill="auto"/>
          </w:tcPr>
          <w:p w14:paraId="68D5F72A"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23.58</w:t>
            </w:r>
          </w:p>
        </w:tc>
      </w:tr>
      <w:tr w:rsidR="008B7539" w:rsidRPr="008B7539" w14:paraId="3150A18F" w14:textId="77777777" w:rsidTr="008B7539">
        <w:tc>
          <w:tcPr>
            <w:tcW w:w="2619" w:type="dxa"/>
            <w:shd w:val="clear" w:color="auto" w:fill="auto"/>
          </w:tcPr>
          <w:p w14:paraId="5E99CEAB"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Open Water</w:t>
            </w:r>
          </w:p>
        </w:tc>
        <w:tc>
          <w:tcPr>
            <w:tcW w:w="2995" w:type="dxa"/>
            <w:shd w:val="clear" w:color="auto" w:fill="auto"/>
          </w:tcPr>
          <w:p w14:paraId="4D9A53B5"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17.67</w:t>
            </w:r>
          </w:p>
        </w:tc>
        <w:tc>
          <w:tcPr>
            <w:tcW w:w="2243" w:type="dxa"/>
            <w:shd w:val="clear" w:color="auto" w:fill="auto"/>
          </w:tcPr>
          <w:p w14:paraId="348A1B93" w14:textId="77777777" w:rsidR="008B7539" w:rsidRPr="008B7539" w:rsidRDefault="008B7539" w:rsidP="003011B8">
            <w:pPr>
              <w:pStyle w:val="MDPI42tablebody"/>
              <w:spacing w:line="240" w:lineRule="auto"/>
              <w:rPr>
                <w:rFonts w:ascii="Minion Pro" w:hAnsi="Minion Pro"/>
              </w:rPr>
            </w:pPr>
            <w:r w:rsidRPr="008B7539">
              <w:rPr>
                <w:rFonts w:ascii="Minion Pro" w:hAnsi="Minion Pro"/>
              </w:rPr>
              <w:t>12.76</w:t>
            </w:r>
          </w:p>
        </w:tc>
      </w:tr>
      <w:tr w:rsidR="008B7539" w:rsidRPr="008B7539" w14:paraId="3DBB1EDD" w14:textId="77777777" w:rsidTr="008B7539">
        <w:tc>
          <w:tcPr>
            <w:tcW w:w="2619" w:type="dxa"/>
            <w:shd w:val="clear" w:color="auto" w:fill="auto"/>
          </w:tcPr>
          <w:p w14:paraId="7D52A58A" w14:textId="77777777" w:rsidR="008B7539" w:rsidRPr="008B7539" w:rsidRDefault="008B7539" w:rsidP="003011B8">
            <w:pPr>
              <w:pStyle w:val="MDPI42tablebody"/>
              <w:spacing w:line="240" w:lineRule="auto"/>
              <w:rPr>
                <w:rFonts w:ascii="Minion Pro" w:hAnsi="Minion Pro"/>
                <w:b/>
                <w:bCs/>
              </w:rPr>
            </w:pPr>
            <w:r w:rsidRPr="008B7539">
              <w:rPr>
                <w:rFonts w:ascii="Minion Pro" w:hAnsi="Minion Pro"/>
                <w:b/>
                <w:bCs/>
              </w:rPr>
              <w:t xml:space="preserve">Total </w:t>
            </w:r>
          </w:p>
        </w:tc>
        <w:tc>
          <w:tcPr>
            <w:tcW w:w="2995" w:type="dxa"/>
            <w:shd w:val="clear" w:color="auto" w:fill="auto"/>
          </w:tcPr>
          <w:p w14:paraId="66A5A0FB" w14:textId="77777777" w:rsidR="008B7539" w:rsidRPr="008B7539" w:rsidRDefault="008B7539" w:rsidP="003011B8">
            <w:pPr>
              <w:pStyle w:val="MDPI42tablebody"/>
              <w:spacing w:line="240" w:lineRule="auto"/>
              <w:rPr>
                <w:rFonts w:ascii="Minion Pro" w:hAnsi="Minion Pro"/>
                <w:b/>
                <w:bCs/>
              </w:rPr>
            </w:pPr>
            <w:r w:rsidRPr="008B7539">
              <w:rPr>
                <w:rFonts w:ascii="Minion Pro" w:hAnsi="Minion Pro"/>
                <w:b/>
                <w:bCs/>
              </w:rPr>
              <w:t>117,455.33</w:t>
            </w:r>
          </w:p>
        </w:tc>
        <w:tc>
          <w:tcPr>
            <w:tcW w:w="2243" w:type="dxa"/>
            <w:shd w:val="clear" w:color="auto" w:fill="auto"/>
          </w:tcPr>
          <w:p w14:paraId="7B1DB524" w14:textId="77777777" w:rsidR="008B7539" w:rsidRPr="008B7539" w:rsidRDefault="008B7539" w:rsidP="003011B8">
            <w:pPr>
              <w:pStyle w:val="MDPI42tablebody"/>
              <w:spacing w:line="240" w:lineRule="auto"/>
              <w:rPr>
                <w:rFonts w:ascii="Minion Pro" w:hAnsi="Minion Pro"/>
                <w:b/>
                <w:bCs/>
              </w:rPr>
            </w:pPr>
            <w:r w:rsidRPr="008B7539">
              <w:rPr>
                <w:rFonts w:ascii="Minion Pro" w:hAnsi="Minion Pro"/>
                <w:b/>
                <w:bCs/>
              </w:rPr>
              <w:t>32,540.27</w:t>
            </w:r>
          </w:p>
        </w:tc>
      </w:tr>
    </w:tbl>
    <w:p w14:paraId="4E9BD6A1" w14:textId="6028C96B" w:rsidR="008B7539" w:rsidRPr="008B7539" w:rsidRDefault="008B7539" w:rsidP="008B7539">
      <w:pPr>
        <w:pStyle w:val="MDPI31text"/>
        <w:ind w:left="0" w:firstLine="0"/>
        <w:jc w:val="left"/>
        <w:rPr>
          <w:rFonts w:ascii="Minion Pro" w:hAnsi="Minion Pro"/>
          <w:szCs w:val="20"/>
        </w:rPr>
      </w:pPr>
      <w:r w:rsidRPr="008B7539">
        <w:rPr>
          <w:rFonts w:ascii="Minion Pro" w:hAnsi="Minion Pro"/>
          <w:szCs w:val="20"/>
        </w:rPr>
        <w:tab/>
        <w:t>Notes: AD (After Deforestation); SE (Standard Error)</w:t>
      </w:r>
    </w:p>
    <w:p w14:paraId="4B85D03B" w14:textId="77777777" w:rsidR="008B7539" w:rsidRPr="008B7539" w:rsidRDefault="008B7539" w:rsidP="008B7539">
      <w:pPr>
        <w:pStyle w:val="MDPI31text"/>
        <w:rPr>
          <w:rFonts w:ascii="Minion Pro" w:hAnsi="Minion Pro"/>
          <w:szCs w:val="20"/>
        </w:rPr>
      </w:pPr>
    </w:p>
    <w:p w14:paraId="679236EE" w14:textId="45CB8C0A" w:rsidR="008B7539" w:rsidRPr="008B7539" w:rsidRDefault="00C17F29" w:rsidP="008B7539">
      <w:pPr>
        <w:pStyle w:val="MDPI52figure"/>
        <w:jc w:val="left"/>
        <w:rPr>
          <w:rFonts w:ascii="Minion Pro" w:hAnsi="Minion Pro"/>
          <w:b/>
        </w:rPr>
      </w:pPr>
      <w:r>
        <w:rPr>
          <w:rFonts w:ascii="Minion Pro" w:hAnsi="Minion Pro"/>
          <w:b/>
          <w:noProof/>
          <w:snapToGrid/>
        </w:rPr>
        <w:pict w14:anchorId="7913A659">
          <v:shape id="Picture 1" o:spid="_x0000_i1028" type="#_x0000_t75" alt="A diagram of soil and mineral soil&#10;&#10;Description automatically generated" style="width:395.25pt;height:136pt;visibility:visible;mso-wrap-style:square">
            <v:imagedata r:id="rId16" o:title="A diagram of soil and mineral soil&#10;&#10;Description automatically generated"/>
          </v:shape>
        </w:pict>
      </w:r>
    </w:p>
    <w:p w14:paraId="6F523DF2" w14:textId="5A4EF867" w:rsidR="008B7539" w:rsidRPr="008B7539" w:rsidRDefault="008B7539" w:rsidP="008B7539">
      <w:pPr>
        <w:pStyle w:val="MDPI51figurecaption"/>
        <w:ind w:left="0"/>
        <w:jc w:val="center"/>
        <w:rPr>
          <w:rFonts w:ascii="Minion Pro" w:hAnsi="Minion Pro"/>
          <w:sz w:val="20"/>
        </w:rPr>
      </w:pPr>
      <w:r w:rsidRPr="008B7539">
        <w:rPr>
          <w:rFonts w:ascii="Minion Pro" w:hAnsi="Minion Pro"/>
          <w:b/>
          <w:sz w:val="20"/>
        </w:rPr>
        <w:t xml:space="preserve">Figure 3. </w:t>
      </w:r>
      <w:r w:rsidRPr="008B7539">
        <w:rPr>
          <w:rFonts w:ascii="Minion Pro" w:hAnsi="Minion Pro"/>
          <w:sz w:val="20"/>
        </w:rPr>
        <w:t>Comparison of deforestation on mineral soil and peat soil between 2006 and 2020 in Central Kalimantan (Indonesia)</w:t>
      </w:r>
    </w:p>
    <w:p w14:paraId="411F65EC" w14:textId="77777777" w:rsidR="008B7539" w:rsidRPr="008B7539" w:rsidRDefault="008B7539" w:rsidP="008B7539">
      <w:pPr>
        <w:pStyle w:val="MDPI51figurecaption"/>
        <w:spacing w:before="0" w:after="0" w:line="360" w:lineRule="auto"/>
        <w:ind w:left="0" w:firstLine="720"/>
        <w:rPr>
          <w:rFonts w:ascii="Minion Pro" w:hAnsi="Minion Pro"/>
          <w:sz w:val="20"/>
          <w:szCs w:val="22"/>
        </w:rPr>
      </w:pPr>
      <w:r w:rsidRPr="008B7539">
        <w:rPr>
          <w:rFonts w:ascii="Minion Pro" w:hAnsi="Minion Pro"/>
          <w:sz w:val="20"/>
        </w:rPr>
        <w:t>Of the 1.5 million natural forests that converted into other land use system 373,816.39 hectare were taken in peatland soil. On other words, as much as 24% of deforestation in Central Kalimantan targeted peat ecosystem that rich in carbo</w:t>
      </w:r>
      <w:r w:rsidRPr="008B7539">
        <w:rPr>
          <w:sz w:val="20"/>
          <w:szCs w:val="22"/>
        </w:rPr>
        <w:t xml:space="preserve">n stock and as consequences, emit higher GHGs into the atmosphere. </w:t>
      </w:r>
      <w:r w:rsidRPr="008B7539">
        <w:rPr>
          <w:b/>
          <w:bCs/>
          <w:sz w:val="20"/>
          <w:szCs w:val="22"/>
        </w:rPr>
        <w:t>Figure 3</w:t>
      </w:r>
      <w:r w:rsidRPr="008B7539">
        <w:rPr>
          <w:sz w:val="20"/>
          <w:szCs w:val="22"/>
        </w:rPr>
        <w:t xml:space="preserve"> shows comparing the proportion of forest on peat soil and mineral soil, we found that forest in 2006 has slightly different from forest in 2020. In 2006 the proportion of forests on peat soil was to some extent higher than forest on peat soil in 2020. This figure shows that mineral soil is more desirable than peat soil due to forest clearing for various purposes.</w:t>
      </w:r>
    </w:p>
    <w:p w14:paraId="6C95F60F" w14:textId="68D6F077" w:rsidR="008B7539" w:rsidRDefault="008B7539" w:rsidP="008B7539">
      <w:pPr>
        <w:pStyle w:val="MDPI51figurecaption"/>
        <w:ind w:left="0"/>
        <w:jc w:val="right"/>
        <w:rPr>
          <w:b/>
          <w:noProof/>
        </w:rPr>
      </w:pPr>
      <w:r w:rsidRPr="00990688">
        <w:rPr>
          <w:b/>
          <w:noProof/>
        </w:rPr>
        <w:lastRenderedPageBreak/>
        <w:t xml:space="preserve"> </w:t>
      </w:r>
      <w:r w:rsidR="00C17F29">
        <w:rPr>
          <w:b/>
          <w:noProof/>
        </w:rPr>
        <w:pict w14:anchorId="6EA9CBAC">
          <v:shape id="Picture 3" o:spid="_x0000_i1029" type="#_x0000_t75" alt="A map of the country&#10;&#10;Description automatically generated with medium confidence" style="width:398.5pt;height:227pt;visibility:visible;mso-wrap-style:square">
            <v:imagedata r:id="rId17" o:title="A map of the country&#10;&#10;Description automatically generated with medium confidence"/>
          </v:shape>
        </w:pict>
      </w:r>
    </w:p>
    <w:p w14:paraId="2DCC3186" w14:textId="77777777" w:rsidR="008512EA" w:rsidRDefault="008B7539" w:rsidP="008B7539">
      <w:pPr>
        <w:spacing w:after="0" w:line="360" w:lineRule="auto"/>
        <w:jc w:val="center"/>
        <w:rPr>
          <w:rFonts w:ascii="Minion Pro" w:hAnsi="Minion Pro"/>
          <w:bCs/>
          <w:sz w:val="20"/>
          <w:szCs w:val="20"/>
        </w:rPr>
      </w:pPr>
      <w:r w:rsidRPr="008B7539">
        <w:rPr>
          <w:rFonts w:ascii="Minion Pro" w:hAnsi="Minion Pro"/>
          <w:b/>
          <w:sz w:val="20"/>
          <w:szCs w:val="20"/>
        </w:rPr>
        <w:t xml:space="preserve">Figure 4. </w:t>
      </w:r>
      <w:r w:rsidRPr="008B7539">
        <w:rPr>
          <w:rFonts w:ascii="Minion Pro" w:hAnsi="Minion Pro"/>
          <w:bCs/>
          <w:sz w:val="20"/>
          <w:szCs w:val="20"/>
        </w:rPr>
        <w:t xml:space="preserve">Map of Deforestation and Forest Degradation in Central Kalimantan Province, Indonesia </w:t>
      </w:r>
    </w:p>
    <w:p w14:paraId="60B8CDF5" w14:textId="62B0A58E" w:rsidR="008B7539" w:rsidRPr="008B7539" w:rsidRDefault="008B7539" w:rsidP="008B7539">
      <w:pPr>
        <w:spacing w:after="0" w:line="360" w:lineRule="auto"/>
        <w:jc w:val="center"/>
        <w:rPr>
          <w:rFonts w:ascii="Minion Pro" w:hAnsi="Minion Pro" w:cs="Times New Roman"/>
          <w:sz w:val="20"/>
          <w:szCs w:val="20"/>
          <w:lang w:val="sv-SE"/>
        </w:rPr>
      </w:pPr>
      <w:r w:rsidRPr="008B7539">
        <w:rPr>
          <w:rFonts w:ascii="Minion Pro" w:hAnsi="Minion Pro"/>
          <w:bCs/>
          <w:sz w:val="20"/>
          <w:szCs w:val="20"/>
        </w:rPr>
        <w:t>(2006 – 2020).</w:t>
      </w:r>
    </w:p>
    <w:p w14:paraId="7BFDC865" w14:textId="42711537" w:rsidR="008512EA" w:rsidRDefault="008512EA" w:rsidP="008512EA">
      <w:pPr>
        <w:pStyle w:val="MDPI31text"/>
        <w:spacing w:line="360" w:lineRule="auto"/>
        <w:ind w:left="0" w:firstLine="720"/>
        <w:rPr>
          <w:rFonts w:ascii="Minion Pro" w:hAnsi="Minion Pro"/>
          <w:color w:val="auto"/>
        </w:rPr>
      </w:pPr>
      <w:r w:rsidRPr="008512EA">
        <w:rPr>
          <w:rFonts w:ascii="Minion Pro" w:hAnsi="Minion Pro"/>
        </w:rPr>
        <w:t xml:space="preserve">This research found that most of deforestation in Central Kalimantan within range time 2006 – 2020 arisen in secondary swamp and dry forest, which is located mostly at low land area in south part as shown in </w:t>
      </w:r>
      <w:r w:rsidRPr="008512EA">
        <w:rPr>
          <w:rFonts w:ascii="Minion Pro" w:hAnsi="Minion Pro"/>
          <w:b/>
          <w:bCs/>
        </w:rPr>
        <w:t>Figure 4</w:t>
      </w:r>
      <w:r w:rsidRPr="008512EA">
        <w:rPr>
          <w:rFonts w:ascii="Minion Pro" w:hAnsi="Minion Pro"/>
        </w:rPr>
        <w:t xml:space="preserve">. </w:t>
      </w:r>
      <w:r w:rsidRPr="008512EA">
        <w:rPr>
          <w:rFonts w:ascii="Minion Pro" w:hAnsi="Minion Pro"/>
          <w:bCs/>
        </w:rPr>
        <w:t xml:space="preserve">This figure also shows several areas that experienced reforestation during the 2006 - 2020 period, both those that occurred naturally and from reforestation activities. </w:t>
      </w:r>
      <w:r w:rsidRPr="008512EA">
        <w:rPr>
          <w:rFonts w:ascii="Minion Pro" w:hAnsi="Minion Pro"/>
        </w:rPr>
        <w:t xml:space="preserve">This finding is consistent with the finding that from 2010 to 2015, just 18% of forests were replaced by plantations, down from 54% between 1995 and 2000. Additionally, it is estimated that 30.2 million hectares of non-forest land across the country match the biophysical requirements for oil palm development </w:t>
      </w:r>
      <w:r w:rsidRPr="008512EA">
        <w:rPr>
          <w:rFonts w:ascii="Minion Pro" w:hAnsi="Minion Pro"/>
        </w:rPr>
        <w:fldChar w:fldCharType="begin" w:fldLock="1"/>
      </w:r>
      <w:r>
        <w:rPr>
          <w:rFonts w:ascii="Minion Pro" w:hAnsi="Minion Pro"/>
        </w:rPr>
        <w:instrText>ADDIN CSL_CITATION {"citationItems":[{"id":"ITEM-1","itemData":{"DOI":"10.1016/j.landusepol.2017.08.036","ISSN":"02648377","abstract":"Oil palm plantations in Indonesia have been linked to substantial deforestation in the 1990s and 2000s, though recent studies suggest that new plantations are increasingly developed on non-forest land. Without nationwide data to establish recent baseline trends, the impact of commitments to eliminate deforestation from palm oil supply chains could therefore be overestimated. We examine the area and proportion of plantations replacing forests across Sumatra, Kalimantan, and Papua up to 2015, and map biophysically suitable areas for future deforestation-free expansion. We created new maps of oil palm plantations for the years 1995, 2000, 2005, 2010 and 2015, and examined land cover replaced in each period. Nationwide, oil palm plantation expansion occurred at an average rate of 450,000 ha yr−1, and resulted in an average of 117,000 ha yr−1 of deforestation, during 1995–2015. Our analysis of the most recent five-year period (2010–2015) shows that the rate of deforestation due to new plantations has remained relatively stable since 2005, despite large increases in the extent of plantations. As a result, the proportion of plantations replacing forests decreased from 54% during 1995–2000, to 18% during 2010–2015. In addition, we estimate there are 30.2 million hectares of non-forest land nationwide which meet biophysical suitability criteria for oil palm cultivation. Our findings suggest that recent zero-deforestation commitments may not have a large impact on deforestation in Sumatra, where plantations have increasingly expanded onto non-forest land over the past twenty years, and which hosts large potentially suitable areas for future deforestation-free expansion. On the other hand, these pledges could have more influence in Kalimantan, where oil palm driven deforestation increased over our study period, and in Papua, a new frontier of expansion with substantial remaining forest cover.","author":[{"dropping-particle":"","family":"Austin","given":"K. G.","non-dropping-particle":"","parse-names":false,"suffix":""},{"dropping-particle":"","family":"Mosnier","given":"A.","non-dropping-particle":"","parse-names":false,"suffix":""},{"dropping-particle":"","family":"Pirker","given":"J.","non-dropping-particle":"","parse-names":false,"suffix":""},{"dropping-particle":"","family":"McCallum","given":"I.","non-dropping-particle":"","parse-names":false,"suffix":""},{"dropping-particle":"","family":"Fritz","given":"S.","non-dropping-particle":"","parse-names":false,"suffix":""},{"dropping-particle":"","family":"Kasibhatla","given":"P. S.","non-dropping-particle":"","parse-names":false,"suffix":""}],"container-title":"Land Use Policy","id":"ITEM-1","issue":"September","issued":{"date-parts":[["2017"]]},"page":"41-48","publisher":"Elsevier","title":"Shifting patterns of oil palm driven deforestation in Indonesia and implications for zero-deforestation commitments","type":"article-journal","volume":"69"},"uris":["http://www.mendeley.com/documents/?uuid=21dee712-d167-4175-b273-304293de0ec4"]},{"id":"ITEM-2","itemData":{"DOI":"10.1371/journal.pone.0217540","ISSN":"19326203","abstract":"Worldwide, roads are a main driver of deforestation and degradation as they increase forest access along the forest edge. In many tropical areas, unofficial roads go unreported and unrecorded, resulting in inaccurate estimates of intact forested areas. This is the case in central Sumatra, which boasts populations of critically endangered Sumatran elephants (Elephas maximus sumatrensis), tigers (Panthera tigris sumatrae) and other endemic flora and fauna that make the area globally unique. However, maps do not reflect the reality of forest loss in the area. Here we present new maps from 2002 and 2016 of digitized and ground-truthed roads in one of Sumatra’s unique lowland tropical protected areas, Tesso Nilo National Park. Using our newly created roads dataset, we examine the distribution of forest with respect to distance to roads. Our data show &gt;2,400 km of roads within the national park in 2016 –nearly a 10-fold increase from roads known in 2002. Most forest (82–99%) within Tesso Nilo falls within 100 m, 500 m, and 1000 m of road edges. Length of road increased 157% and road density increased from 1.06 km/km2 to 2.63 km/km2 from 2002–2016. Our results suggest that this endemic ecosystem is facing substantial threat from roads and their associated impacts. Without swift management action, such as road closures and increased enforcements by park management, this ecosystem, and its endemic wildlife, could be lost. It is imperative that protected areas worldwide more rigorously consider roads and road effects on ecosystem fragmentation in their conservation plans.","author":[{"dropping-particle":"","family":"Poor","given":"Erin E.","non-dropping-particle":"","parse-names":false,"suffix":""},{"dropping-particle":"","family":"Jati","given":"Virta I.M.","non-dropping-particle":"","parse-names":false,"suffix":""},{"dropping-particle":"","family":"Imron","given":"Muhammad Ali","non-dropping-particle":"","parse-names":false,"suffix":""},{"dropping-particle":"","family":"Kelly","given":"Marcella J.","non-dropping-particle":"","parse-names":false,"suffix":""}],"container-title":"PLoS ONE","id":"ITEM-2","issue":"7","issued":{"date-parts":[["2019"]]},"title":"The road to deforestation: Edge effects in an endemic ecosystem in Sumatra, Indonesia","type":"article-journal","volume":"14"},"uris":["http://www.mendeley.com/documents/?uuid=08688a05-61b5-3381-a847-c4cfc5bf7d8d"]}],"mendeley":{"formattedCitation":"(K. G. Austin et al., 2017; Poor et al., 2019)","plainTextFormattedCitation":"(K. G. Austin et al., 2017; Poor et al., 2019)","previouslyFormattedCitation":"(K. G. Austin et al., 2017; Poor et al., 2019)"},"properties":{"noteIndex":0},"schema":"https://github.com/citation-style-language/schema/raw/master/csl-citation.json"}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(K. G. Austin et al., 2017; Poor et al., 2019)</w:t>
      </w:r>
      <w:r w:rsidRPr="008512EA">
        <w:rPr>
          <w:rFonts w:ascii="Minion Pro" w:hAnsi="Minion Pro"/>
        </w:rPr>
        <w:fldChar w:fldCharType="end"/>
      </w:r>
      <w:r w:rsidRPr="008512EA">
        <w:rPr>
          <w:rFonts w:ascii="Minion Pro" w:hAnsi="Minion Pro"/>
          <w:color w:val="auto"/>
        </w:rPr>
        <w:t xml:space="preserve">. </w:t>
      </w:r>
    </w:p>
    <w:p w14:paraId="66A9818E" w14:textId="77777777" w:rsidR="008512EA" w:rsidRDefault="008512EA" w:rsidP="008512EA">
      <w:pPr>
        <w:pStyle w:val="MDPI31text"/>
        <w:spacing w:line="360" w:lineRule="auto"/>
        <w:ind w:left="0" w:firstLine="720"/>
        <w:rPr>
          <w:rFonts w:ascii="Minion Pro" w:hAnsi="Minion Pro"/>
          <w:color w:val="auto"/>
        </w:rPr>
      </w:pPr>
      <w:r w:rsidRPr="008512EA">
        <w:rPr>
          <w:rFonts w:ascii="Minion Pro" w:hAnsi="Minion Pro"/>
          <w:color w:val="auto"/>
        </w:rPr>
        <w:t xml:space="preserve">There were four types of disturbances distinguished during field and aerial observation on the study areas; (1) no disturbance: tall and large peat swamp forest trees; rather closed canopy; no sign of human exploitation; (2) old, exploited forests (timber extraction was conducted more than 25 years prior to the survey): ex-logging railways and stamping areas colonized by pioneer tree species in Sebangau Catchment such as </w:t>
      </w:r>
      <w:proofErr w:type="spellStart"/>
      <w:r w:rsidRPr="008512EA">
        <w:rPr>
          <w:rFonts w:ascii="Minion Pro" w:hAnsi="Minion Pro"/>
          <w:i/>
          <w:iCs/>
          <w:color w:val="auto"/>
        </w:rPr>
        <w:t>Combretocarpus</w:t>
      </w:r>
      <w:proofErr w:type="spellEnd"/>
      <w:r w:rsidRPr="008512EA">
        <w:rPr>
          <w:rFonts w:ascii="Minion Pro" w:hAnsi="Minion Pro"/>
          <w:i/>
          <w:iCs/>
          <w:color w:val="auto"/>
        </w:rPr>
        <w:t xml:space="preserve"> </w:t>
      </w:r>
      <w:proofErr w:type="spellStart"/>
      <w:r w:rsidRPr="008512EA">
        <w:rPr>
          <w:rFonts w:ascii="Minion Pro" w:hAnsi="Minion Pro"/>
          <w:i/>
          <w:iCs/>
          <w:color w:val="auto"/>
        </w:rPr>
        <w:t>rotundatus</w:t>
      </w:r>
      <w:proofErr w:type="spellEnd"/>
      <w:r w:rsidRPr="008512EA">
        <w:rPr>
          <w:rFonts w:ascii="Minion Pro" w:hAnsi="Minion Pro"/>
          <w:color w:val="auto"/>
        </w:rPr>
        <w:t xml:space="preserve"> (</w:t>
      </w:r>
      <w:proofErr w:type="spellStart"/>
      <w:r w:rsidRPr="008512EA">
        <w:rPr>
          <w:rFonts w:ascii="Minion Pro" w:hAnsi="Minion Pro"/>
          <w:color w:val="auto"/>
        </w:rPr>
        <w:t>tumeh</w:t>
      </w:r>
      <w:proofErr w:type="spellEnd"/>
      <w:r w:rsidRPr="008512EA">
        <w:rPr>
          <w:rFonts w:ascii="Minion Pro" w:hAnsi="Minion Pro"/>
          <w:color w:val="auto"/>
        </w:rPr>
        <w:t xml:space="preserve">) and </w:t>
      </w:r>
      <w:r w:rsidRPr="008512EA">
        <w:rPr>
          <w:rFonts w:ascii="Minion Pro" w:hAnsi="Minion Pro"/>
          <w:i/>
          <w:iCs/>
          <w:color w:val="auto"/>
        </w:rPr>
        <w:t>Macaranga</w:t>
      </w:r>
      <w:r w:rsidRPr="008512EA">
        <w:rPr>
          <w:rFonts w:ascii="Minion Pro" w:hAnsi="Minion Pro"/>
          <w:color w:val="auto"/>
        </w:rPr>
        <w:t xml:space="preserve"> sp. In several locations (crown shape and color easily distinguishable from other tree species), some emergent trees; (3) land clearing by the local community for agriculture and settlement; and (4) burnt areas affected by El-NINO fire events.</w:t>
      </w:r>
    </w:p>
    <w:p w14:paraId="5FAB5344" w14:textId="6BFFC30E" w:rsidR="008512EA" w:rsidRDefault="008512EA" w:rsidP="008512EA">
      <w:pPr>
        <w:pStyle w:val="MDPI31text"/>
        <w:spacing w:line="360" w:lineRule="auto"/>
        <w:ind w:left="0" w:firstLine="720"/>
        <w:rPr>
          <w:rFonts w:ascii="Minion Pro" w:hAnsi="Minion Pro"/>
          <w:color w:val="auto"/>
        </w:rPr>
      </w:pPr>
      <w:r w:rsidRPr="008512EA">
        <w:rPr>
          <w:rFonts w:ascii="Minion Pro" w:hAnsi="Minion Pro"/>
        </w:rPr>
        <w:t xml:space="preserve">The low land forest is inhabited more than high land parts. In addition, low elevation, access and soil condition make lowland forest of Central Kalimantan favorable for oil palm and timber plantations </w:t>
      </w:r>
      <w:r w:rsidRPr="008512EA">
        <w:rPr>
          <w:rFonts w:ascii="Minion Pro" w:hAnsi="Minion Pro"/>
        </w:rPr>
        <w:fldChar w:fldCharType="begin" w:fldLock="1"/>
      </w:r>
      <w:r>
        <w:rPr>
          <w:rFonts w:ascii="Minion Pro" w:hAnsi="Minion Pro"/>
        </w:rPr>
        <w:instrText>ADDIN CSL_CITATION {"citationItems":[{"id":"ITEM-1","itemData":{"DOI":"10.1088/1748-9326/aaf6db","ISSN":"17489326","abstract":"We investigate the causes of deforestation in Indonesia, a country with one of the highest rates of primary natural forest loss in the tropics, annually between 2001 and 2016. We use high spatial resolution imagery made available on Google Earth to characterize the land cover types following a random selection of deforestation events, drawn from the Global Forest Change dataset. Notorious in the region, large-scale oil palm and timber plantations together contributed more than two-fifths of nationwide deforestation over our study period, with a peak in late aughts followed by a notable decline up to 2016. Conversion of forests to grasslands, which comprised an average of one-fifth of national deforestation, rose sharply in dominance in years following periods of considerable fire activity, particularly in 2016. Small-scale agriculture and small-scale plantations also contributed one-fifth of nationwide forest loss and were the dominant drivers of loss outside the major islands of Indonesia. Although relatively small contributors to total deforestation, logging roads were responsible for a declining share of deforestation, and mining activities were responsible for an increasing share, over the study period. Direct drivers of deforestation in Indonesia are thus spatially and temporally dynamic, suggesting the need for forest conservation policy responses tailored at the subnational level, and new methods for monitoring the causes of deforestation over time.","author":[{"dropping-particle":"","family":"Austin","given":"Kemen G.","non-dropping-particle":"","parse-names":false,"suffix":""},{"dropping-particle":"","family":"Schwantes","given":"Amanda","non-dropping-particle":"","parse-names":false,"suffix":""},{"dropping-particle":"","family":"Gu","given":"Yaofeng","non-dropping-particle":"","parse-names":false,"suffix":""},{"dropping-particle":"","family":"Kasibhatla","given":"Prasad S.","non-dropping-particle":"","parse-names":false,"suffix":""}],"container-title":"Environmental Research Letters","id":"ITEM-1","issue":"2","issued":{"date-parts":[["2019"]]},"publisher":"IOP Publishing","title":"What causes deforestation in Indonesia?","type":"article-journal","volume":"14"},"uris":["http://www.mendeley.com/documents/?uuid=4447f88d-7954-4d09-a50c-7809a675a100"]},{"id":"ITEM-2","itemData":{"DOI":"10.1126/science.1091714","ISSN":"00368075","abstract":"The ecology of Bornean rainforests is driven by El Niño-induced droughts that trigger synchronous fruiting among trees and bursts of faunal reproduction that sustain vertebrate populations. However, many of these species- and carbon-rich ecosystems have been destroyed by logging and conversion, which increasingly threaten protected areas. Our satellite, Geographic Information System, and field-based analyses show that from 1985 to 2001, Kalimantan's protected lowland forests declined by more than 56% (&gt;29,000 square kilometers). Even uninhabited frontier parks are logged to supply international markets. \"Protected\" forests have become increasingly isolated and deforested and their buffer zones degraded. Preserving the ecological integrity of Kalimantan's rainforests requires immediate transnational management.","author":[{"dropping-particle":"","family":"Curran","given":"L. M.","non-dropping-particle":"","parse-names":false,"suffix":""},{"dropping-particle":"","family":"Trigg","given":"S. N.","non-dropping-particle":"","parse-names":false,"suffix":""},{"dropping-particle":"","family":"McDonald","given":"A. K.","non-dropping-particle":"","parse-names":false,"suffix":""},{"dropping-particle":"","family":"Astiani","given":"D.","non-dropping-particle":"","parse-names":false,"suffix":""},{"dropping-particle":"","family":"Hardiono","given":"Y. M.","non-dropping-particle":"","parse-names":false,"suffix":""},{"dropping-particle":"","family":"Siregar","given":"P.","non-dropping-particle":"","parse-names":false,"suffix":""},{"dropping-particle":"","family":"Caniago","given":"I.","non-dropping-particle":"","parse-names":false,"suffix":""},{"dropping-particle":"","family":"Kasischke","given":"E.","non-dropping-particle":"","parse-names":false,"suffix":""}],"container-title":"Science","id":"ITEM-2","issue":"5660","issued":{"date-parts":[["2004"]]},"title":"Lowland Forest Loss in Protected Areas of Indonesian Borneo","type":"article-journal","volume":"303"},"uris":["http://www.mendeley.com/documents/?uuid=7c4e1457-809e-3d6b-8ccb-43694c46c15c"]},{"id":"ITEM-3","itemData":{"DOI":"10.1111/j.1365-2699.2009.02147.x","ISSN":"03050270","abstract":"Aim This study determines whether the establishment of tropical protected areas (PAs) has led to a reduction in deforestation within their boundaries or whether deforestation has been displaced to adjacent unprotected areas: a process termed neighbourhood leakage. Location Sumatra, Indonesia. Methods We processed and analysed 98 corresponding LANDSAT satellite images with a c. 800 m2 resolution to map deforestation from 1990 to 2000 across 440,000 km2 on the main island of Sumatra and the smaller island of Siberut. We compared deforestation rates across three categories of land: (1) within PAs; (2) in adjacent unprotected land lying with 10 km of PA boundaries; and (3) within the wider unprotected landscape. We used the statistical method of propensity score matching to predict the deforestation that would have been observed had there been no PAs and to control for the generally remote locations in which Sumatran PAs were established. Results During the period 1990-2000 deforestation rates were found to be lower inside PAs than in adjacent unprotected areas or in the wider landscape. Deforestation rates were also found to be lower in adjacent unprotected areas than in the wider landscape. Main conclusions Sumatran PAs have lower deforestation rates than unprotected areas. Furthermore, a reduction in deforestation rates inside Sumatran PAs has promoted protection, rather than deforestation, in adjacent unprotected land lying within 10 km of PA boundaries. Despite this positive evaluation, deforestation and logging have not halted within the boundaries of Sumatran PAs. Therefore the long-term viability of Sumatran forests remains open to question. © 2009 Blackwell Publishing Ltd.","author":[{"dropping-particle":"","family":"Gaveau","given":"David L.A.","non-dropping-particle":"","parse-names":false,"suffix":""},{"dropping-particle":"","family":"Epting","given":"Justin","non-dropping-particle":"","parse-names":false,"suffix":""},{"dropping-particle":"","family":"Lyne","given":"Owen","non-dropping-particle":"","parse-names":false,"suffix":""},{"dropping-particle":"","family":"Linkie","given":"Matthew","non-dropping-particle":"","parse-names":false,"suffix":""},{"dropping-particle":"","family":"Kumara","given":"Indra","non-dropping-particle":"","parse-names":false,"suffix":""},{"dropping-particle":"","family":"Kanninen","given":"Markku","non-dropping-particle":"","parse-names":false,"suffix":""},{"dropping-particle":"","family":"Leader-Williams","given":"Nigel","non-dropping-particle":"","parse-names":false,"suffix":""}],"container-title":"Journal of Biogeography","id":"ITEM-3","issue":"11","issued":{"date-parts":[["2009"]]},"title":"Evaluating whether protected areas reduce tropical deforestation in Sumatra","type":"article-journal","volume":"36"},"uris":["http://www.mendeley.com/documents/?uuid=5bbdd9b7-5689-374b-8ccc-03f5d72acf2e"]},{"id":"ITEM-4","itemData":{"DOI":"10.1038/nclimate2277","ISSN":"17586798","abstract":"Extensive clearing of Indonesian primary forests results in increased greenhouse gas emissions and biodiversity loss. However, there is no consensus on the areal extent and temporal trends of primary forest clearing in Indonesia. Here we report a spatially and temporally explicit quantification of Indonesian primary forest loss, which totalled over 6.02 Mha from 2000 to 2012 and increased on average by 47,600 ha per year. By 2012, annual primary forest loss in Indonesia was estimated to be higher than in Brazil (0.84 Mha and 0.46 Mha, respectively). Proportional loss of primary forests in wetland landforms increased and almost all clearing of primary forests occurred within degraded types, meaning logging preceded conversion processes. Loss within official forest land uses that restrict or prohibit clearing totalled 40% of all loss within national forest land. The increasing loss of Indonesian primary forests has significant implications for climate change mitigation and biodiversity conservation efforts. © 2014 Macmillan Publishers Limited. All rights reserved.","author":[{"dropping-particle":"","family":"Margono","given":"Belinda Arunarwati","non-dropping-particle":"","parse-names":false,"suffix":""},{"dropping-particle":"V.","family":"Potapov","given":"Peter","non-dropping-particle":"","parse-names":false,"suffix":""},{"dropping-particle":"","family":"Turubanova","given":"Svetlana","non-dropping-particle":"","parse-names":false,"suffix":""},{"dropping-particle":"","family":"Stolle","given":"Fred","non-dropping-particle":"","parse-names":false,"suffix":""},{"dropping-particle":"","family":"Hansen","given":"Matthew C.","non-dropping-particle":"","parse-names":false,"suffix":""}],"container-title":"Nature Climate Change","id":"ITEM-4","issue":"8","issued":{"date-parts":[["2014"]]},"title":"Primary forest cover loss in indonesia over 2000-2012","type":"article","volume":"4"},"uris":["http://www.mendeley.com/documents/?uuid=127bc5d0-b2c7-3bfe-b262-cba07df8102d"]}],"mendeley":{"formattedCitation":"(Kemen G. Austin et al., 2019; Curran et al., 2004; Gaveau et al., 2009; Margono et al., 2014)","plainTextFormattedCitation":"(Kemen G. Austin et al., 2019; Curran et al., 2004; Gaveau et al., 2009; Margono et al., 2014)","previouslyFormattedCitation":"(Kemen G. Austin et al., 2019; Curran et al., 2004; Gaveau et al., 2009; Margono et al., 2014)"},"properties":{"noteIndex":0},"schema":"https://github.com/citation-style-language/schema/raw/master/csl-citation.json"}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(Kemen G. Austin et al., 2019; Curran et al., 2004; Gaveau et al., 2009; Margono et al., 2014)</w:t>
      </w:r>
      <w:r w:rsidRPr="008512EA">
        <w:rPr>
          <w:rFonts w:ascii="Minion Pro" w:hAnsi="Minion Pro"/>
        </w:rPr>
        <w:fldChar w:fldCharType="end"/>
      </w:r>
      <w:r w:rsidRPr="008512EA">
        <w:rPr>
          <w:rFonts w:ascii="Minion Pro" w:hAnsi="Minion Pro"/>
        </w:rPr>
        <w:t xml:space="preserve">. Protected forest in lowland Kalimantan decreased by 56% in period of 1985 – 2001 </w:t>
      </w:r>
      <w:r w:rsidRPr="008512EA">
        <w:rPr>
          <w:rFonts w:ascii="Minion Pro" w:hAnsi="Minion Pro"/>
        </w:rPr>
        <w:fldChar w:fldCharType="begin" w:fldLock="1"/>
      </w:r>
      <w:r>
        <w:rPr>
          <w:rFonts w:ascii="Minion Pro" w:hAnsi="Minion Pro"/>
        </w:rPr>
        <w:instrText>ADDIN CSL_CITATION {"citationItems":[{"id":"ITEM-1","itemData":{"DOI":"10.1126/science.1091714","ISSN":"00368075","abstract":"The ecology of Bornean rainforests is driven by El Niño-induced droughts that trigger synchronous fruiting among trees and bursts of faunal reproduction that sustain vertebrate populations. However, many of these species- and carbon-rich ecosystems have been destroyed by logging and conversion, which increasingly threaten protected areas. Our satellite, Geographic Information System, and field-based analyses show that from 1985 to 2001, Kalimantan's protected lowland forests declined by more than 56% (&gt;29,000 square kilometers). Even uninhabited frontier parks are logged to supply international markets. \"Protected\" forests have become increasingly isolated and deforested and their buffer zones degraded. Preserving the ecological integrity of Kalimantan's rainforests requires immediate transnational management.","author":[{"dropping-particle":"","family":"Curran","given":"L. M.","non-dropping-particle":"","parse-names":false,"suffix":""},{"dropping-particle":"","family":"Trigg","given":"S. N.","non-dropping-particle":"","parse-names":false,"suffix":""},{"dropping-particle":"","family":"McDonald","given":"A. K.","non-dropping-particle":"","parse-names":false,"suffix":""},{"dropping-particle":"","family":"Astiani","given":"D.","non-dropping-particle":"","parse-names":false,"suffix":""},{"dropping-particle":"","family":"Hardiono","given":"Y. M.","non-dropping-particle":"","parse-names":false,"suffix":""},{"dropping-particle":"","family":"Siregar","given":"P.","non-dropping-particle":"","parse-names":false,"suffix":""},{"dropping-particle":"","family":"Caniago","given":"I.","non-dropping-particle":"","parse-names":false,"suffix":""},{"dropping-particle":"","family":"Kasischke","given":"E.","non-dropping-particle":"","parse-names":false,"suffix":""}],"container-title":"Science","id":"ITEM-1","issue":"5660","issued":{"date-parts":[["2004"]]},"title":"Lowland Forest Loss in Protected Areas of Indonesian Borneo","type":"article-journal","volume":"303"},"uris":["http://www.mendeley.com/documents/?uuid=7c4e1457-809e-3d6b-8ccb-43694c46c15c"]}],"mendeley":{"formattedCitation":"(Curran et al., 2004)","plainTextFormattedCitation":"(Curran et al., 2004)","previouslyFormattedCitation":"(Curran et al., 2004)"},"properties":{"noteIndex":0},"schema":"https://github.com/citation-style-language/schema/raw/master/csl-citation.json"}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(Curran et al., 2004)</w:t>
      </w:r>
      <w:r w:rsidRPr="008512EA">
        <w:rPr>
          <w:rFonts w:ascii="Minion Pro" w:hAnsi="Minion Pro"/>
        </w:rPr>
        <w:fldChar w:fldCharType="end"/>
      </w:r>
      <w:r w:rsidRPr="008512EA">
        <w:rPr>
          <w:rFonts w:ascii="Minion Pro" w:hAnsi="Minion Pro"/>
        </w:rPr>
        <w:t xml:space="preserve">. The rate of oil palm plantation expanded was 450,000 ha/year and replacing forested area in lowland area </w:t>
      </w:r>
      <w:r w:rsidRPr="008512EA">
        <w:rPr>
          <w:rFonts w:ascii="Minion Pro" w:hAnsi="Minion Pro"/>
        </w:rPr>
        <w:fldChar w:fldCharType="begin" w:fldLock="1"/>
      </w:r>
      <w:r>
        <w:rPr>
          <w:rFonts w:ascii="Minion Pro" w:hAnsi="Minion Pro"/>
        </w:rPr>
        <w:instrText>ADDIN CSL_CITATION {"citationItems":[{"id":"ITEM-1","itemData":{"DOI":"10.1016/j.landusepol.2017.08.036","ISSN":"02648377","abstract":"Oil palm plantations in Indonesia have been linked to substantial deforestation in the 1990s and 2000s, though recent studies suggest that new plantations are increasingly developed on non-forest land. Without nationwide data to establish recent baseline trends, the impact of commitments to eliminate deforestation from palm oil supply chains could therefore be overestimated. We examine the area and proportion of plantations replacing forests across Sumatra, Kalimantan, and Papua up to 2015, and map biophysically suitable areas for future deforestation-free expansion. We created new maps of oil palm plantations for the years 1995, 2000, 2005, 2010 and 2015, and examined land cover replaced in each period. Nationwide, oil palm plantation expansion occurred at an average rate of 450,000 ha yr−1, and resulted in an average of 117,000 ha yr−1 of deforestation, during 1995–2015. Our analysis of the most recent five-year period (2010–2015) shows that the rate of deforestation due to new plantations has remained relatively stable since 2005, despite large increases in the extent of plantations. As a result, the proportion of plantations replacing forests decreased from 54% during 1995–2000, to 18% during 2010–2015. In addition, we estimate there are 30.2 million hectares of non-forest land nationwide which meet biophysical suitability criteria for oil palm cultivation. Our findings suggest that recent zero-deforestation commitments may not have a large impact on deforestation in Sumatra, where plantations have increasingly expanded onto non-forest land over the past twenty years, and which hosts large potentially suitable areas for future deforestation-free expansion. On the other hand, these pledges could have more influence in Kalimantan, where oil palm driven deforestation increased over our study period, and in Papua, a new frontier of expansion with substantial remaining forest cover.","author":[{"dropping-particle":"","family":"Austin","given":"K. G.","non-dropping-particle":"","parse-names":false,"suffix":""},{"dropping-particle":"","family":"Mosnier","given":"A.","non-dropping-particle":"","parse-names":false,"suffix":""},{"dropping-particle":"","family":"Pirker","given":"J.","non-dropping-particle":"","parse-names":false,"suffix":""},{"dropping-particle":"","family":"McCallum","given":"I.","non-dropping-particle":"","parse-names":false,"suffix":""},{"dropping-particle":"","family":"Fritz","given":"S.","non-dropping-particle":"","parse-names":false,"suffix":""},{"dropping-particle":"","family":"Kasibhatla","given":"P. S.","non-dropping-particle":"","parse-names":false,"suffix":""}],"container-title":"Land Use Policy","id":"ITEM-1","issue":"September","issued":{"date-parts":[["2017"]]},"page":"41-48","publisher":"Elsevier","title":"Shifting patterns of oil palm driven deforestation in Indonesia and implications for zero-deforestation commitments","type":"article-journal","volume":"69"},"uris":["http://www.mendeley.com/documents/?uuid=21dee712-d167-4175-b273-304293de0ec4"]},{"id":"ITEM-2","itemData":{"DOI":"10.1088/1748-9326/aaf6db","ISSN":"17489326","abstract":"We investigate the causes of deforestation in Indonesia, a country with one of the highest rates of primary natural forest loss in the tropics, annually between 2001 and 2016. We use high spatial resolution imagery made available on Google Earth to characterize the land cover types following a random selection of deforestation events, drawn from the Global Forest Change dataset. Notorious in the region, large-scale oil palm and timber plantations together contributed more than two-fifths of nationwide deforestation over our study period, with a peak in late aughts followed by a notable decline up to 2016. Conversion of forests to grasslands, which comprised an average of one-fifth of national deforestation, rose sharply in dominance in years following periods of considerable fire activity, particularly in 2016. Small-scale agriculture and small-scale plantations also contributed one-fifth of nationwide forest loss and were the dominant drivers of loss outside the major islands of Indonesia. Although relatively small contributors to total deforestation, logging roads were responsible for a declining share of deforestation, and mining activities were responsible for an increasing share, over the study period. Direct drivers of deforestation in Indonesia are thus spatially and temporally dynamic, suggesting the need for forest conservation policy responses tailored at the subnational level, and new methods for monitoring the causes of deforestation over time.","author":[{"dropping-particle":"","family":"Austin","given":"Kemen G.","non-dropping-particle":"","parse-names":false,"suffix":""},{"dropping-particle":"","family":"Schwantes","given":"Amanda","non-dropping-particle":"","parse-names":false,"suffix":""},{"dropping-particle":"","family":"Gu","given":"Yaofeng","non-dropping-particle":"","parse-names":false,"suffix":""},{"dropping-particle":"","family":"Kasibhatla","given":"Prasad S.","non-dropping-particle":"","parse-names":false,"suffix":""}],"container-title":"Environmental Research Letters","id":"ITEM-2","issue":"2","issued":{"date-parts":[["2019"]]},"publisher":"IOP Publishing","title":"What causes deforestation in Indonesia?","type":"article-journal","volume":"14"},"uris":["http://www.mendeley.com/documents/?uuid=4447f88d-7954-4d09-a50c-7809a675a100"]}],"mendeley":{"formattedCitation":"(K. G. Austin et al., 2017; Kemen G. Austin et al., 2019)","plainTextFormattedCitation":"(K. G. Austin et al., 2017; Kemen G. Austin et al., 2019)","previouslyFormattedCitation":"(K. G. Austin et al., 2017; Kemen G. Austin et al., 2019)"},"properties":{"noteIndex":0},"schema":"https://github.com/citation-style-language/schema/raw/master/csl-citation.json"}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(K. G. Austin et al., 2017; Kemen G. Austin et al., 2019)</w:t>
      </w:r>
      <w:r w:rsidRPr="008512EA">
        <w:rPr>
          <w:rFonts w:ascii="Minion Pro" w:hAnsi="Minion Pro"/>
        </w:rPr>
        <w:fldChar w:fldCharType="end"/>
      </w:r>
      <w:r w:rsidRPr="008512EA">
        <w:rPr>
          <w:rFonts w:ascii="Minion Pro" w:hAnsi="Minion Pro"/>
        </w:rPr>
        <w:t xml:space="preserve">. </w:t>
      </w:r>
    </w:p>
    <w:p w14:paraId="433CDC33" w14:textId="6A2A3CDD" w:rsidR="008512EA" w:rsidRDefault="008512EA" w:rsidP="008512EA">
      <w:pPr>
        <w:pStyle w:val="MDPI31text"/>
        <w:spacing w:line="360" w:lineRule="auto"/>
        <w:ind w:left="0" w:firstLine="720"/>
        <w:rPr>
          <w:rFonts w:ascii="Minion Pro" w:hAnsi="Minion Pro"/>
          <w:color w:val="auto"/>
        </w:rPr>
      </w:pPr>
      <w:r w:rsidRPr="008512EA">
        <w:rPr>
          <w:rFonts w:ascii="Minion Pro" w:hAnsi="Minion Pro"/>
        </w:rPr>
        <w:lastRenderedPageBreak/>
        <w:t xml:space="preserve">As of 2015, Central Kalimantan, the largest of the five provinces in Kalimantan/Borneo (~15.3 million hectares), still had the third-largest relative forest cover (~49% of the total provincial area), the greatest absolute forest cover (~7.5 million ha), and the highest percentage of forests (~7.5 million ha). Additionally, it is the province that contributed the biggest percentage (38%) of all emissions from deforestation for the whole analyzed period from 1990 to 2015 </w:t>
      </w:r>
      <w:r w:rsidRPr="008512EA">
        <w:rPr>
          <w:rFonts w:ascii="Minion Pro" w:hAnsi="Minion Pro"/>
        </w:rPr>
        <w:fldChar w:fldCharType="begin" w:fldLock="1"/>
      </w:r>
      <w:r>
        <w:rPr>
          <w:rFonts w:ascii="Minion Pro" w:hAnsi="Minion Pro"/>
        </w:rPr>
        <w:instrText>ADDIN CSL_CITATION {"citationItems":[{"id":"ITEM-1","itemData":{"DOI":"10.22146/ijg.23680","ISSN":"00249521","abstract":"Indonesia has developed its forest reference emission level (FREL), using a historical reference period of 1990¬ 2012. Based on official Ministry of Environment and Forestry (MoEF) data, this paper analyses gross deforestation rates and emissions from deforestation in the five provinces of the island of Kalimantan which occurred in the time after 2012, i.e. 2013 until 2015, and puts them in relation to the average annual deforestation and emission rates of each province in the reference period. Even though the overall linear trend of deforestation and emission rates in Kalimantan from 1990 until 2015 goes down, this trend is not reflected in all of the five provinces equally. West and North Kalimantan's rates even seem to be on the rise. The potentials to achieve emission reduction targets thus remain unequal for each province in Kalimantan Island.","author":[{"dropping-particle":"","family":"Wegscheider","given":"Stephanie","non-dropping-particle":"","parse-names":false,"suffix":""},{"dropping-particle":"","family":"Purwanto","given":"Judin","non-dropping-particle":"","parse-names":false,"suffix":""},{"dropping-particle":"","family":"Margono","given":"Belinda A.","non-dropping-particle":"","parse-names":false,"suffix":""},{"dropping-particle":"","family":"Nugroho","given":"Sigit","non-dropping-particle":"","parse-names":false,"suffix":""},{"dropping-particle":"","family":"Budiharto","given":"","non-dropping-particle":"","parse-names":false,"suffix":""},{"dropping-particle":"","family":"Buchholz","given":"Georg","non-dropping-particle":"","parse-names":false,"suffix":""},{"dropping-particle":"","family":"Sugardiman","given":"Ruandha A.","non-dropping-particle":"","parse-names":false,"suffix":""}],"container-title":"Indonesian Journal of Geography","id":"ITEM-1","issue":"2","issued":{"date-parts":[["2019"]]},"page":"109-120","title":"Current achievements to reduce deforestation in Kalimantan","type":"article-journal","volume":"50"},"uris":["http://www.mendeley.com/documents/?uuid=c3271626-2169-4676-ab1f-8027a11eee85"]},{"id":"ITEM-2","itemData":{"abstract":"See notes. Social economic data, very little environmental, only climate (rainfall temp etc) for 3 cities.","author":[{"dropping-particle":"","family":"BPS Kalteng","given":"","non-dropping-particle":"","parse-names":false,"suffix":""}],"container-title":"Provinsi Kalimantan Tengah Dalam Angka","id":"ITEM-2","issued":{"date-parts":[["2022"]]},"title":"Provinsi Kalimantan Tengah Dalam Angka","type":"article-journal"},"uris":["http://www.mendeley.com/documents/?uuid=d0643688-07fd-372d-bb67-19a1c308ede6"]}],"mendeley":{"formattedCitation":"(BPS Kalteng, 2022; Wegscheider et al., 2019)","plainTextFormattedCitation":"(BPS Kalteng, 2022; Wegscheider et al., 2019)","previouslyFormattedCitation":"(BPS Kalteng, 2022; Wegscheider et al., 2019)"},"properties":{"noteIndex":0},"schema":"https://github.com/citation-style-language/schema/raw/master/csl-citation.json"}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(BPS Kalteng, 2022; Wegscheider et al., 2019)</w:t>
      </w:r>
      <w:r w:rsidRPr="008512EA">
        <w:rPr>
          <w:rFonts w:ascii="Minion Pro" w:hAnsi="Minion Pro"/>
        </w:rPr>
        <w:fldChar w:fldCharType="end"/>
      </w:r>
      <w:r w:rsidRPr="008512EA">
        <w:rPr>
          <w:rFonts w:ascii="Minion Pro" w:hAnsi="Minion Pro"/>
        </w:rPr>
        <w:t xml:space="preserve">. Central Kalimantan has two national parks in the lowland area, Sebangau National Park, and Tanjung Puting National Park. The two protected areas play as bulwark, holding and resisting deforestation. However, concern arises for the conservation of these two national parks since rapid deforestation occurred in surrounding and buffer zone areas. </w:t>
      </w:r>
    </w:p>
    <w:p w14:paraId="4B7BB609" w14:textId="2F91D498" w:rsidR="008512EA" w:rsidRDefault="008512EA" w:rsidP="008512EA">
      <w:pPr>
        <w:pStyle w:val="MDPI31text"/>
        <w:spacing w:line="360" w:lineRule="auto"/>
        <w:ind w:left="0" w:firstLine="720"/>
        <w:rPr>
          <w:rFonts w:ascii="Minion Pro" w:hAnsi="Minion Pro"/>
          <w:color w:val="auto"/>
        </w:rPr>
      </w:pPr>
      <w:r w:rsidRPr="008512EA">
        <w:rPr>
          <w:rFonts w:ascii="Minion Pro" w:hAnsi="Minion Pro"/>
        </w:rPr>
        <w:t xml:space="preserve">The deforestation rate was relatively high in the period 2006 – 2011 because of policy and development priority from the government. During this range of time, the government is creating investment ambience, high incentive and attractive leases inviting investors to develop large scale oil palm and timber plantations </w:t>
      </w:r>
      <w:r w:rsidRPr="008512EA">
        <w:rPr>
          <w:rFonts w:ascii="Minion Pro" w:hAnsi="Minion Pro"/>
        </w:rPr>
        <w:fldChar w:fldCharType="begin" w:fldLock="1"/>
      </w:r>
      <w:r>
        <w:rPr>
          <w:rFonts w:ascii="Minion Pro" w:hAnsi="Minion Pro"/>
        </w:rPr>
        <w:instrText>ADDIN CSL_CITATION {"citationItems":[{"id":"ITEM-1","itemData":{"abstract":"This paper seeks to build on and provide empirical evidence concerning a: over the long term, in most of tropical Asia and Southeast Asia, it is not large farms that replace small ones, since, on the contrary, what is clearly occurring is a transition from plantation to smallholders for an important number of cash crops. Then why is this recent surge in large-scale land acquisitions occurring? To examine this issue, we seek to bridge the recent literature on land grabbing with the long-established debate on the relation between large and small farms. For this, we intend to investigate historical transformation of perennial tree crop production in Malaysia and Indonesia, two dominant cash crop producers. To do so, we focus on two important sectors, rubber and palm oil, both major cash crops in those countries, for which smallholders claim a large share of ownership. First, we briefly revisit discussions on the relation between large and small farms to identify key issues in the debate in lieu of conceptual framework. Second, with regard to the cultivation of rubber in Malaysia and Indonesia, we provide a historical perspective on the institutional and economic contexts which defined the relation between small and large farms. Third, for comparative purposes, we attend to the more recent expansion of oil palm in the region involving the emergence of smallholdings. For both crops, we are paying particular attention to national agricultural policies and context that favoured the consolidation and development of smallholder plantation agriculture. Finally and more generally, we discuss the issue of labour and employment.","author":[{"dropping-particle":"","family":"Bissonnette","given":"Jean-François","non-dropping-particle":"","parse-names":false,"suffix":""},{"dropping-particle":"","family":"Koninck","given":"Rodolphe","non-dropping-particle":"De","parse-names":false,"suffix":""}],"container-title":"Conference on Land Grabbing, Conflict and Agrarian-Environmental Transformations: Perspective from East and Southeast Asia","id":"ITEM-1","issue":"12","issued":{"date-parts":[["2015"]]},"title":"Large plantations versus smallholdings in Southeast Asia: historical and contemporary trends","type":"article-journal"},"uris":["http://www.mendeley.com/documents/?uuid=cb071a6d-1579-3d7a-9fb8-02bb01114923"]}],"mendeley":{"formattedCitation":"(Bissonnette &amp; De Koninck, 2015)","plainTextFormattedCitation":"(Bissonnette &amp; De Koninck, 2015)","previouslyFormattedCitation":"(Bissonnette &amp; De Koninck, 2015)"},"properties":{"noteIndex":0},"schema":"https://github.com/citation-style-language/schema/raw/master/csl-citation.json"}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(Bissonnette &amp; De Koninck, 2015)</w:t>
      </w:r>
      <w:r w:rsidRPr="008512EA">
        <w:rPr>
          <w:rFonts w:ascii="Minion Pro" w:hAnsi="Minion Pro"/>
        </w:rPr>
        <w:fldChar w:fldCharType="end"/>
      </w:r>
      <w:r w:rsidRPr="008512EA">
        <w:rPr>
          <w:rFonts w:ascii="Minion Pro" w:hAnsi="Minion Pro"/>
        </w:rPr>
        <w:t>. In comparison to what actually happened, it was estimated that a European ban on high-deforestation palm oil from 2000 to 2015 would have resulted in a global price premium of 8.9% on low-deforestation palm oil, preventing 21 374 ha (1.60%) less deforestation and 21.1 million tCO</w:t>
      </w:r>
      <w:r w:rsidRPr="008512EA">
        <w:rPr>
          <w:rFonts w:ascii="Minion Pro" w:hAnsi="Minion Pro"/>
          <w:vertAlign w:val="subscript"/>
        </w:rPr>
        <w:t>2</w:t>
      </w:r>
      <w:r w:rsidRPr="008512EA">
        <w:rPr>
          <w:rFonts w:ascii="Minion Pro" w:hAnsi="Minion Pro"/>
        </w:rPr>
        <w:t xml:space="preserve"> (1.91%) less deforestation-related emissions in Indonesia </w:t>
      </w:r>
      <w:r w:rsidRPr="008512EA">
        <w:rPr>
          <w:rFonts w:ascii="Minion Pro" w:hAnsi="Minion Pro"/>
        </w:rPr>
        <w:fldChar w:fldCharType="begin" w:fldLock="1"/>
      </w:r>
      <w:r>
        <w:rPr>
          <w:rFonts w:ascii="Minion Pro" w:hAnsi="Minion Pro"/>
        </w:rPr>
        <w:instrText>ADDIN CSL_CITATION {"citationItems":[{"id":"ITEM-1","itemData":{"DOI":"10.1088/1748-9326/ac435e","ISSN":"17489326","abstract":"Demand-side restrictions on high-deforestation commodities are expanding as a climate policy, but their impact on reducing tropical deforestation and emissions has yet to be quantified. Here we model the effects of demand-side restrictions on high-deforestation palm oil in Europe on deforestation and emissions in Indonesia. We do so by integrating a model of global trade with a spatially explicit model of land-use change in Indonesia. We estimate a European ban on high-deforestation palm oil from 2000 to 2015 would have led to a 8.9% global price premium on low-deforestation palm oil, resulting in 21 374 ha yr-1 (1.60%) less deforestation and 21.1 million tCO2 yr-1 (1.91%) less emissions from deforestation in Indonesia relative to what occurred. A hypothetical Indonesia-wide carbon price would have achieved equivalent emission reductions at $0.81/tCO2. Impacts of a ban are small because: 52% of Europe's imports of high-deforestation palm oil would have shifted to non-participating countries; the price elasticity of supply of high-deforestation oil palm cropland is small (0.13); and conversion to oil palm was responsible for only 32% of deforestation in Indonesia. If demand-side restrictions succeed in substantially reducing deforestation, it is likely to be through non-price pathways.","author":[{"dropping-particle":"","family":"Busch","given":"Jonah","non-dropping-particle":"","parse-names":false,"suffix":""},{"dropping-particle":"","family":"Amarjargal","given":"Oyut","non-dropping-particle":"","parse-names":false,"suffix":""},{"dropping-particle":"","family":"Taheripour","given":"Farzad","non-dropping-particle":"","parse-names":false,"suffix":""},{"dropping-particle":"","family":"Austin","given":"Kemen G.","non-dropping-particle":"","parse-names":false,"suffix":""},{"dropping-particle":"","family":"Siregar","given":"Rizki Nauli","non-dropping-particle":"","parse-names":false,"suffix":""},{"dropping-particle":"","family":"Koenig","given":"Kellee","non-dropping-particle":"","parse-names":false,"suffix":""},{"dropping-particle":"","family":"Hertel","given":"Thomas W.","non-dropping-particle":"","parse-names":false,"suffix":""}],"container-title":"Environmental Research Letters","id":"ITEM-1","issue":"1","issued":{"date-parts":[["2022"]]},"title":"Effects of demand-side restrictions on high-deforestation palm oil in Europe on deforestation and emissions in Indonesia","type":"article-journal","volume":"17"},"uris":["http://www.mendeley.com/documents/?uuid=bd240d41-673d-3cdb-98ab-26fcfe34fc58"]},{"id":"ITEM-2","itemData":{"abstract":"• Indonesia’s 2-year moratorium on new concessions in primary natural forest and peatland areas is an important step towards meeting its voluntary commitment to reduce emissions. However, several issues are unresolved concerning the area and status of land covered by the moratorium, and hence the amount of carbon stored in the affected forests and peatlands. • The additional area given protection under the moratorium is at most 22.5 million hectares (Mha), which consists of 7.2 Mha of primary forests, 11.2 Mha of peatlands and 4.1 Mha that fall into neither of these categories. • The failure to include secondary forests and logged-over forests in the moratorium represents a lost opportunity to protect, at least temporarily, a fraction of 46.7 Mha of forests rich in carbon and biodiversity. • The moratorium’s application to peatlands is likely to generate the most significant environmental benefits because of their large carbon storage capacity. However, as governance is relatively weak, concerted efforts will be necessary to capture those benefits. • The moratorium’s exceptions for activities related to food and energy security create loopholes that could undermine the suspension of new concession licences. The potential for environmentally sound and economically viable land swaps should be explored before such exceptions are approved. • A continually updated Indicative Moratorium Map (IMM) will be an important tool for public scrutiny and a mechanism to further secure and possibly increase the area covered by the moratorium. As part of this process, existing licences should be reviewed for compliance with current laws and regulations.","author":[{"dropping-particle":"","family":"Murdiyarso","given":"Daniel","non-dropping-particle":"","parse-names":false,"suffix":""},{"dropping-particle":"","family":"Dewi","given":"Sonya","non-dropping-particle":"","parse-names":false,"suffix":""},{"dropping-particle":"","family":"Lawrence","given":"Deborah","non-dropping-particle":"","parse-names":false,"suffix":""},{"dropping-particle":"","family":"Seymour","given":"Frances","non-dropping-particle":"","parse-names":false,"suffix":""}],"container-title":"Working Paper","id":"ITEM-2","issued":{"date-parts":[["2011"]]},"title":"Indonesia's Forest Moratorium: A Stepping Stone to Better Forest Governance?","type":"report"},"uris":["http://www.mendeley.com/documents/?uuid=5b05e061-6a35-38db-874c-b1c723b0e287"]}],"mendeley":{"formattedCitation":"(Busch et al., 2022; Murdiyarso et al., 2011)","plainTextFormattedCitation":"(Busch et al., 2022; Murdiyarso et al., 2011)","previouslyFormattedCitation":"(Busch et al., 2022; Murdiyarso et al., 2011)"},"properties":{"noteIndex":0},"schema":"https://github.com/citation-style-language/schema/raw/master/csl-citation.json"}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(Busch et al., 2022; Murdiyarso et al., 2011)</w:t>
      </w:r>
      <w:r w:rsidRPr="008512EA">
        <w:rPr>
          <w:rFonts w:ascii="Minion Pro" w:hAnsi="Minion Pro"/>
        </w:rPr>
        <w:fldChar w:fldCharType="end"/>
      </w:r>
      <w:r w:rsidRPr="008512EA">
        <w:rPr>
          <w:rFonts w:ascii="Minion Pro" w:hAnsi="Minion Pro"/>
        </w:rPr>
        <w:t xml:space="preserve">. </w:t>
      </w:r>
    </w:p>
    <w:p w14:paraId="3423525D" w14:textId="1E01F817" w:rsidR="008512EA" w:rsidRDefault="008512EA" w:rsidP="008512EA">
      <w:pPr>
        <w:pStyle w:val="MDPI31text"/>
        <w:spacing w:line="360" w:lineRule="auto"/>
        <w:ind w:left="0" w:firstLine="720"/>
        <w:rPr>
          <w:rFonts w:ascii="Minion Pro" w:hAnsi="Minion Pro"/>
          <w:color w:val="auto"/>
        </w:rPr>
      </w:pPr>
      <w:r w:rsidRPr="008512EA">
        <w:rPr>
          <w:rFonts w:ascii="Minion Pro" w:hAnsi="Minion Pro"/>
        </w:rPr>
        <w:t xml:space="preserve">Oil palm is a lucrative and highly profitable commodity and has become the main reason for the expansion of this commodity in Kalimantan. It works closely with the cooperative sector and individual farmers, producers of palm oil production (Indonesia is the world’s largest producer and plans to increase its production up to 40 million tons annually by 2020) </w:t>
      </w:r>
      <w:r w:rsidRPr="008512EA">
        <w:rPr>
          <w:rFonts w:ascii="Minion Pro" w:hAnsi="Minion Pro"/>
        </w:rPr>
        <w:fldChar w:fldCharType="begin" w:fldLock="1"/>
      </w:r>
      <w:r>
        <w:rPr>
          <w:rFonts w:ascii="Minion Pro" w:hAnsi="Minion Pro"/>
        </w:rPr>
        <w:instrText>ADDIN CSL_CITATION {"citationItems":[{"id":"ITEM-1","itemData":{"DOI":"10.15181/rfds.v25i2.1745","ISSN":"2029-9370","abstract":"This paper evaluates the impact of corruption on deforestation in Indonesia. The world’s nature environment and global warming questions are one of the main factors of international concerns. Massive deforestation threatens Indonesian biodiversity. This research paper analyses issues of whether deforestation in Indonesia is caused by corruption and supported by crude palm oil production. This issue was questioned earlier by using Engel Granger cointegration test, three time series of data, specifically corruption perception index (CPI), rate of deforestation and price of crude palm oil that was inspected for a long-run relationship. Yet long-run relationship was not found. The author of this article shows that while answering this question, CPI values are not as important as the very nature of corruption in Indonesia. However, CPI is still extremely high in Indonesia as the nature of corruption is convenient for illegal logging. Thus, international response is needed so that to decrease the level of deforestation in Indonesia. With the new European Union Law that requires legal sourcing of wood products, Indonesia commits to enforce new rules in the Asia’s largest rainforest. For example, FLEGT licensing became operational on November 15, 2016. The European Union is strictly enforcing these rules what is a good step against deforestation in hand with illegal logging in Indonesia. In this way to analyse in detail the FLEGT programme and the EU activities, is beyond the scope of this paper. There stays questioned the Indonesian Presidents’ ban on new palm oil plantations and mining licence, because such approach can potentially increase corruption and unofficial economy at local levels. The author of this paper wants to fulfil the gap in understanding about the link between deforestation in Indonesia and corruption. The level of corruption in Indonesia is not the main issue, but the nature of corruption is the main problem.  KEYWORDS: corruption, FLEGT licensing, deforestation, international relations.  JEL CODES: D73, Q2, Q5,  DOI: http://dx.doi.org/10.15181/rfds.v25i2.1745","author":[{"dropping-particle":"","family":"Pachmann","given":"Ales","non-dropping-particle":"","parse-names":false,"suffix":""}],"container-title":"Regional Formation and Development Studies","id":"ITEM-1","issue":"2","issued":{"date-parts":[["2021"]]},"page":"55-62","title":"Corruption and Deforestation in Indonesia","type":"article-journal","volume":"2"},"uris":["http://www.mendeley.com/documents/?uuid=c7f4d5f0-0011-45ea-b8b8-edfd2614658f"]}],"mendeley":{"formattedCitation":"(Pachmann, 2021)","plainTextFormattedCitation":"(Pachmann, 2021)","previouslyFormattedCitation":"(Pachmann, 2021)"},"properties":{"noteIndex":0},"schema":"https://github.com/citation-style-language/schema/raw/master/csl-citation.json"}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(Pachmann, 2021)</w:t>
      </w:r>
      <w:r w:rsidRPr="008512EA">
        <w:rPr>
          <w:rFonts w:ascii="Minion Pro" w:hAnsi="Minion Pro"/>
        </w:rPr>
        <w:fldChar w:fldCharType="end"/>
      </w:r>
      <w:r w:rsidRPr="008512EA">
        <w:rPr>
          <w:rFonts w:ascii="Minion Pro" w:hAnsi="Minion Pro"/>
        </w:rPr>
        <w:t xml:space="preserve">. After 2011, deforestation rate slowed down, following moratorium policy. Government banned the establishment of oil palm plantation on primary and peatland </w:t>
      </w:r>
      <w:r w:rsidRPr="008512EA">
        <w:rPr>
          <w:rFonts w:ascii="Minion Pro" w:hAnsi="Minion Pro"/>
        </w:rPr>
        <w:fldChar w:fldCharType="begin" w:fldLock="1"/>
      </w:r>
      <w:r>
        <w:rPr>
          <w:rFonts w:ascii="Minion Pro" w:hAnsi="Minion Pro"/>
        </w:rPr>
        <w:instrText>ADDIN CSL_CITATION {"citationItems":[{"id":"ITEM-1","itemData":{"abstract":"• Indonesia’s 2-year moratorium on new concessions in primary natural forest and peatland areas is an important step towards meeting its voluntary commitment to reduce emissions. However, several issues are unresolved concerning the area and status of land covered by the moratorium, and hence the amount of carbon stored in the affected forests and peatlands. • The additional area given protection under the moratorium is at most 22.5 million hectares (Mha), which consists of 7.2 Mha of primary forests, 11.2 Mha of peatlands and 4.1 Mha that fall into neither of these categories. • The failure to include secondary forests and logged-over forests in the moratorium represents a lost opportunity to protect, at least temporarily, a fraction of 46.7 Mha of forests rich in carbon and biodiversity. • The moratorium’s application to peatlands is likely to generate the most significant environmental benefits because of their large carbon storage capacity. However, as governance is relatively weak, concerted efforts will be necessary to capture those benefits. • The moratorium’s exceptions for activities related to food and energy security create loopholes that could undermine the suspension of new concession licences. The potential for environmentally sound and economically viable land swaps should be explored before such exceptions are approved. • A continually updated Indicative Moratorium Map (IMM) will be an important tool for public scrutiny and a mechanism to further secure and possibly increase the area covered by the moratorium. As part of this process, existing licences should be reviewed for compliance with current laws and regulations.","author":[{"dropping-particle":"","family":"Murdiyarso","given":"Daniel","non-dropping-particle":"","parse-names":false,"suffix":""},{"dropping-particle":"","family":"Dewi","given":"Sonya","non-dropping-particle":"","parse-names":false,"suffix":""},{"dropping-particle":"","family":"Lawrence","given":"Deborah","non-dropping-particle":"","parse-names":false,"suffix":""},{"dropping-particle":"","family":"Seymour","given":"Frances","non-dropping-particle":"","parse-names":false,"suffix":""}],"container-title":"Working Paper","id":"ITEM-1","issued":{"date-parts":[["2011"]]},"title":"Indonesia's Forest Moratorium: A Stepping Stone to Better Forest Governance?","type":"report"},"uris":["http://www.mendeley.com/documents/?uuid=5b05e061-6a35-38db-874c-b1c723b0e287"]}],"mendeley":{"formattedCitation":"(Murdiyarso et al., 2011)","plainTextFormattedCitation":"(Murdiyarso et al., 2011)","previouslyFormattedCitation":"(Murdiyarso et al., 2011)"},"properties":{"noteIndex":0},"schema":"https://github.com/citation-style-language/schema/raw/master/csl-citation.json"}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(Murdiyarso et al., 2011)</w:t>
      </w:r>
      <w:r w:rsidRPr="008512EA">
        <w:rPr>
          <w:rFonts w:ascii="Minion Pro" w:hAnsi="Minion Pro"/>
        </w:rPr>
        <w:fldChar w:fldCharType="end"/>
      </w:r>
      <w:r w:rsidRPr="008512EA">
        <w:rPr>
          <w:rFonts w:ascii="Minion Pro" w:hAnsi="Minion Pro"/>
        </w:rPr>
        <w:t>. However, deforestation rose again between 2015 – 2019 as a result widespread forest fire that triggered by ENSO (</w:t>
      </w:r>
      <w:r w:rsidRPr="008512EA">
        <w:rPr>
          <w:rFonts w:ascii="Minion Pro" w:hAnsi="Minion Pro"/>
          <w:i/>
          <w:iCs/>
        </w:rPr>
        <w:t>El Niño–Southern Oscillation</w:t>
      </w:r>
      <w:r w:rsidRPr="008512EA">
        <w:rPr>
          <w:rFonts w:ascii="Minion Pro" w:hAnsi="Minion Pro"/>
        </w:rPr>
        <w:t xml:space="preserve">) condition </w:t>
      </w:r>
      <w:r w:rsidRPr="008512EA">
        <w:rPr>
          <w:rFonts w:ascii="Minion Pro" w:hAnsi="Minion Pro"/>
        </w:rPr>
        <w:fldChar w:fldCharType="begin" w:fldLock="1"/>
      </w:r>
      <w:r>
        <w:rPr>
          <w:rFonts w:ascii="Minion Pro" w:hAnsi="Minion Pro"/>
        </w:rPr>
        <w:instrText>ADDIN CSL_CITATION {"citationItems":[{"id":"ITEM-1","itemData":{"DOI":"10.1080/02626667.2013.772298","ISSN":"02626667","abstract":"The effect of the El Niño Southern Oscillation (ENSO) on rainfall characteristics in the tropical peatland areas of Central Kalimantan, Indonesia, is demonstrated. This research used rainfall data collected between 1978 and 2008. The results suggest a relationship between ENSO events and the trend in rainfall observed in the study area. Further analyses show that El Niño events have a stronger effect on the rainfall compared to La Niña events. El Niño events were also correlated to the increase in the number of days with less than 1 mm of rainfall in the dry season. The analysis reveals that the impact of El Niño events on rainfall in dry seasons is intensifying annually. Furthermore, ENSO events are not the only factors affecting rainfall trends in the observed area. Other factors, such as deforestation, may also affect the trend. Editor Z.W. Kundzewicz Citation Susilo, G.E., Yamamoto, K., Imai, T., Ishii, Y., Fukami, H., and Sekine, M., 2013. The effect of ENSO on rainfall characteristics in the tropical peatland areas of Central Kalimantan, Indonesia. Hydrological Sciences Journal, 58 (3), 539-548. © 2013 Copyright 2013 IAHS Press.","author":[{"dropping-particle":"","family":"Susilo","given":"Gatot E.","non-dropping-particle":"","parse-names":false,"suffix":""},{"dropping-particle":"","family":"Yamamoto","given":"Koichi","non-dropping-particle":"","parse-names":false,"suffix":""},{"dropping-particle":"","family":"Imai","given":"Tsuyoshi","non-dropping-particle":"","parse-names":false,"suffix":""},{"dropping-particle":"","family":"Ishii","given":"Yoshiyuki","non-dropping-particle":"","parse-names":false,"suffix":""},{"dropping-particle":"","family":"Fukami","given":"Hiroshi","non-dropping-particle":"","parse-names":false,"suffix":""},{"dropping-particle":"","family":"Sekine","given":"Masahiko","non-dropping-particle":"","parse-names":false,"suffix":""}],"container-title":"Hydrological Sciences Journal","id":"ITEM-1","issue":"3","issued":{"date-parts":[["2013"]]},"title":"The effect of ENSO on rainfall characteristics in the tropical peatland areas of Central Kalimantan, Indonesia","type":"article-journal","volume":"58"},"uris":["http://www.mendeley.com/documents/?uuid=9aaae512-3ccd-3da2-9c81-16ff7ae7c834"]}],"mendeley":{"formattedCitation":"(Susilo et al., 2013)","plainTextFormattedCitation":"(Susilo et al., 2013)","previouslyFormattedCitation":"(Susilo et al., 2013)"},"properties":{"noteIndex":0},"schema":"https://github.com/citation-style-language/schema/raw/master/csl-citation.json"}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(Susilo et al., 2013)</w:t>
      </w:r>
      <w:r w:rsidRPr="008512EA">
        <w:rPr>
          <w:rFonts w:ascii="Minion Pro" w:hAnsi="Minion Pro"/>
        </w:rPr>
        <w:fldChar w:fldCharType="end"/>
      </w:r>
      <w:r w:rsidRPr="008512EA">
        <w:rPr>
          <w:rFonts w:ascii="Minion Pro" w:hAnsi="Minion Pro"/>
        </w:rPr>
        <w:t xml:space="preserve">. It has become obvious that the incidence of more frequent ENSO events, coupled with major land development projects that involve drainage of the surface peat, is leading to an increased risk of repeated fire events in tropical peatland areas </w:t>
      </w:r>
      <w:r w:rsidRPr="008512EA">
        <w:rPr>
          <w:rFonts w:ascii="Minion Pro" w:hAnsi="Minion Pro"/>
        </w:rPr>
        <w:fldChar w:fldCharType="begin" w:fldLock="1"/>
      </w:r>
      <w:r>
        <w:rPr>
          <w:rFonts w:ascii="Minion Pro" w:hAnsi="Minion Pro"/>
        </w:rPr>
        <w:instrText>ADDIN CSL_CITATION {"citationItems":[{"id":"ITEM-1","itemData":{"DOI":"10.1080/01431160903302981","ISSN":"13665901","abstract":"Multitemporal Principal Component Analysis (MPCA) was used for processing Landsat Thematic Mapper (TM)/Enhanced Thematic Mapper plus (ETM+) satellite images. MPCA was able to merge spectral data corresponding to TM-1996 (prefire in 1997), ETM-2000 (post-fire 1997 and pre-fire 2002) and ETM-2003 (post-fire in 2002), which was crucial for detecting the fire impact and vegetation recovery. Results indicate that the burnt areas of 1997 and 2002 were 89,086 ha (16.5%) and 31,859 ha (5.9%), respectively, within the study area of 540,000 ha. Satellite Pour 1'Observation de la Terre (SPOT)-VEGETATION 10-day Maximum Value Composite (MVC) data were also used and compared with Normalized Difference Vegetation Index (NDVI) from ground-based NDVI. Our research demonstrates the strong relationship between LandsatTM/ETM+, SPOT-VEGETATION data and ground-based NDVI in identifying land-cover changes and vegetation recovery over the tropical peat swamp forest area in Central Kalimantan, Indonesia that is affected by forest fires that occurred in 1997 and 2002. © 2010 Taylor &amp; Francis.","author":[{"dropping-particle":"","family":"Hendrik","given":"Segah","non-dropping-particle":"","parse-names":false,"suffix":""},{"dropping-particle":"","family":"Tani","given":"Hiroshi","non-dropping-particle":"","parse-names":false,"suffix":""},{"dropping-particle":"","family":"Hirano","given":"Takashi","non-dropping-particle":"","parse-names":false,"suffix":""}],"container-title":"International Journal of Remote Sensing","id":"ITEM-1","issue":"20","issued":{"date-parts":[["2010"]]},"page":"5297-5314","title":"Detection of fire impact and vegetation recovery over tropical peat swamp forest by satellite data and ground-based NDVI instrument","type":"article-journal","volume":"31"},"uris":["http://www.mendeley.com/documents/?uuid=8742318b-8d38-499b-b11c-2f9fc77c4c19"]}],"mendeley":{"formattedCitation":"(Hendrik et al., 2010)","plainTextFormattedCitation":"(Hendrik et al., 2010)","previouslyFormattedCitation":"(Hendrik et al., 2010)"},"properties":{"noteIndex":0},"schema":"https://github.com/citation-style-language/schema/raw/master/csl-citation.json"}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(Hendrik et al., 2010)</w:t>
      </w:r>
      <w:r w:rsidRPr="008512EA">
        <w:rPr>
          <w:rFonts w:ascii="Minion Pro" w:hAnsi="Minion Pro"/>
        </w:rPr>
        <w:fldChar w:fldCharType="end"/>
      </w:r>
      <w:r w:rsidRPr="008512EA">
        <w:rPr>
          <w:rFonts w:ascii="Minion Pro" w:hAnsi="Minion Pro"/>
        </w:rPr>
        <w:t xml:space="preserve">. Furthermore, forest fires are an important cause of environmental alteration and land degradation or conversion through human activities. </w:t>
      </w:r>
    </w:p>
    <w:p w14:paraId="7E42BD20" w14:textId="07D45661" w:rsidR="008512EA" w:rsidRDefault="008512EA" w:rsidP="008512EA">
      <w:pPr>
        <w:pStyle w:val="MDPI31text"/>
        <w:spacing w:line="360" w:lineRule="auto"/>
        <w:ind w:left="0" w:firstLine="720"/>
        <w:rPr>
          <w:rFonts w:ascii="Minion Pro" w:hAnsi="Minion Pro"/>
        </w:rPr>
      </w:pPr>
      <w:r w:rsidRPr="008512EA">
        <w:rPr>
          <w:rFonts w:ascii="Minion Pro" w:hAnsi="Minion Pro"/>
        </w:rPr>
        <w:t xml:space="preserve">The combination of degraded ecosystem generated from previous deforestation and long dry season caused forest fire uncontrolled. Even though Kalimantan's deforestation and emission rates have decreased overall from 1990 to 2015, this trend is not uniformly present across the five provinces. Even the rates in West and North Kalimantan appear to be rising. Thus, each province on Kalimantan Island has a different chance of meeting its carbon reduction goals </w:t>
      </w:r>
      <w:r w:rsidRPr="008512EA">
        <w:rPr>
          <w:rFonts w:ascii="Minion Pro" w:hAnsi="Minion Pro"/>
        </w:rPr>
        <w:fldChar w:fldCharType="begin" w:fldLock="1"/>
      </w:r>
      <w:r>
        <w:rPr>
          <w:rFonts w:ascii="Minion Pro" w:hAnsi="Minion Pro"/>
        </w:rPr>
        <w:instrText>ADDIN CSL_CITATION {"citationItems":[{"id":"ITEM-1","itemData":{"DOI":"10.22146/ijg.23680","ISSN":"00249521","abstract":"Indonesia has developed its forest reference emission level (FREL), using a historical reference period of 1990¬ 2012. Based on official Ministry of Environment and Forestry (MoEF) data, this paper analyses gross deforestation rates and emissions from deforestation in the five provinces of the island of Kalimantan which occurred in the time after 2012, i.e. 2013 until 2015, and puts them in relation to the average annual deforestation and emission rates of each province in the reference period. Even though the overall linear trend of deforestation and emission rates in Kalimantan from 1990 until 2015 goes down, this trend is not reflected in all of the five provinces equally. West and North Kalimantan's rates even seem to be on the rise. The potentials to achieve emission reduction targets thus remain unequal for each province in Kalimantan Island.","author":[{"dropping-particle":"","family":"Wegscheider","given":"Stephanie","non-dropping-particle":"","parse-names":false,"suffix":""},{"dropping-particle":"","family":"Purwanto","given":"Judin","non-dropping-particle":"","parse-names":false,"suffix":""},{"dropping-particle":"","family":"Margono","given":"Belinda A.","non-dropping-particle":"","parse-names":false,"suffix":""},{"dropping-particle":"","family":"Nugroho","given":"Sigit","non-dropping-particle":"","parse-names":false,"suffix":""},{"dropping-particle":"","family":"Budiharto","given":"","non-dropping-particle":"","parse-names":false,"suffix":""},{"dropping-particle":"","family":"Buchholz","given":"Georg","non-dropping-particle":"","parse-names":false,"suffix":""},{"dropping-particle":"","family":"Sugardiman","given":"Ruandha A.","non-dropping-particle":"","parse-names":false,"suffix":""}],"container-title":"Indonesian Journal of Geography","id":"ITEM-1","issue":"2","issued":{"date-parts":[["2019"]]},"page":"109-120","title":"Current achievements to reduce deforestation in Kalimantan","type":"article-journal","volume":"50"},"uris":["http://www.mendeley.com/documents/?uuid=c3271626-2169-4676-ab1f-8027a11eee85"]}],"mendeley":{"formattedCitation":"(Wegscheider et al., 2019)","plainTextFormattedCitation":"(Wegscheider et al., 2019)","previouslyFormattedCitation":"(Wegscheider et al., 2019)"},"properties":{"noteIndex":0},"schema":"https://github.com/citation-style-language/schema/raw/master/csl-citation.json"}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(Wegscheider et al., 2019)</w:t>
      </w:r>
      <w:r w:rsidRPr="008512EA">
        <w:rPr>
          <w:rFonts w:ascii="Minion Pro" w:hAnsi="Minion Pro"/>
        </w:rPr>
        <w:fldChar w:fldCharType="end"/>
      </w:r>
      <w:r w:rsidRPr="008512EA">
        <w:rPr>
          <w:rFonts w:ascii="Minion Pro" w:hAnsi="Minion Pro"/>
        </w:rPr>
        <w:t xml:space="preserve">. After 2019, the deforestation in Central Kalimantan slowed down and even negative that associated with the absence of long dry season and the occurring of COVID-19 pandemic. But otherwise, evidence reveals that the COVID-19 epidemic has prompted </w:t>
      </w:r>
      <w:r w:rsidRPr="008512EA">
        <w:rPr>
          <w:rFonts w:ascii="Minion Pro" w:hAnsi="Minion Pro"/>
        </w:rPr>
        <w:lastRenderedPageBreak/>
        <w:t xml:space="preserve">illegitimate, opportunistic forest cutting and mining in tropical nations, endangering forest ecosystems and the inhabitants that depend on them </w:t>
      </w:r>
      <w:r w:rsidRPr="008512EA">
        <w:rPr>
          <w:rFonts w:ascii="Minion Pro" w:hAnsi="Minion Pro"/>
        </w:rPr>
        <w:fldChar w:fldCharType="begin" w:fldLock="1"/>
      </w:r>
      <w:r>
        <w:rPr>
          <w:rFonts w:ascii="Minion Pro" w:hAnsi="Minion Pro"/>
        </w:rPr>
        <w:instrText>ADDIN CSL_CITATION {"citationItems":[{"id":"ITEM-1","itemData":{"DOI":"10.1016/j.pecon.2020.09.006","ISSN":"25300644","abstract":"Tropical deforestation drivers are complex and can change rapidly in periods of profound societal transformation, such as those during a pandemic. Evidence suggests that the COVID-19 pandemic has spurred illegal, opportunistic forest clearing in tropical countries, threatening forest ecosystems and their resident human communities. A total of 9583 km2 of deforestation alerts from Global Land Analysis &amp; Discovery (GLAD) were detected across the global tropics during the first month following the implementation of confinement measures of local governments to reduce COVID-19 spread, which is nearly double that of 2019 (4732 km2). We present a conceptual framework linking tropical deforestation and the current pandemic. Zoonotic diseases, public health, economy, agriculture, and forests may all be reciprocally linked in complex positive and negative feedback loops with overarching consequences. We highlight the emerging threats to nature and society resulting from this complex reciprocal interplay and possible policy interventions that could minimize these threats.","author":[{"dropping-particle":"","family":"Brancalion","given":"Pedro H.S.","non-dropping-particle":"","parse-names":false,"suffix":""},{"dropping-particle":"","family":"Broadbent","given":"Eben N.","non-dropping-particle":"","parse-names":false,"suffix":""},{"dropping-particle":"","family":"de-Miguel","given":"Sergio","non-dropping-particle":"","parse-names":false,"suffix":""},{"dropping-particle":"","family":"Cardil","given":"Adrián","non-dropping-particle":"","parse-names":false,"suffix":""},{"dropping-particle":"","family":"Rosa","given":"Marcos R.","non-dropping-particle":"","parse-names":false,"suffix":""},{"dropping-particle":"","family":"Almeida","given":"Catherine T.","non-dropping-particle":"","parse-names":false,"suffix":""},{"dropping-particle":"","family":"Almeida","given":"Danilo R.A.","non-dropping-particle":"","parse-names":false,"suffix":""},{"dropping-particle":"","family":"Chakravarty","given":"Shourish","non-dropping-particle":"","parse-names":false,"suffix":""},{"dropping-particle":"","family":"Zhou","given":"Mo","non-dropping-particle":"","parse-names":false,"suffix":""},{"dropping-particle":"","family":"Gamarra","given":"Javier G.P.","non-dropping-particle":"","parse-names":false,"suffix":""},{"dropping-particle":"","family":"Liang","given":"Jingjing","non-dropping-particle":"","parse-names":false,"suffix":""},{"dropping-particle":"","family":"Crouzeilles","given":"Renato","non-dropping-particle":"","parse-names":false,"suffix":""},{"dropping-particle":"","family":"Hérault","given":"Bruno","non-dropping-particle":"","parse-names":false,"suffix":""},{"dropping-particle":"","family":"Aragão","given":"Luiz E.O.C.","non-dropping-particle":"","parse-names":false,"suffix":""},{"dropping-particle":"","family":"Silva","given":"Carlos Alberto","non-dropping-particle":"","parse-names":false,"suffix":""},{"dropping-particle":"","family":"Almeyda-Zambrano","given":"Angelica M.","non-dropping-particle":"","parse-names":false,"suffix":""}],"container-title":"Perspectives in Ecology and Conservation","id":"ITEM-1","issue":"4","issued":{"date-parts":[["2020"]]},"page":"243-246","title":"Emerging threats linking tropical deforestation and the COVID-19 pandemic","type":"article-journal","volume":"18"},"uris":["http://www.mendeley.com/documents/?uuid=ec7db3d7-1145-406a-acbf-1ea41696767b"]},{"id":"ITEM-2","itemData":{"DOI":"10.51521/ijmhr.2021.1103","abstract":"Aim of this work is to submit to the researcher the relationship whit climate condition, air pollution and deforestation in Manaus zone in Brazil and the rapid spread of so called Brazilian COVID-19 variant. Also other situation are analysed like South Africa variant. This topics of research make possible to better study the phenomena of new COVID-19 variant explosion and related effect on increase velocity in spread and in increased mortality rate in some region of the world. The ability of this variant to elude immune system need to seek also in environmental toxicology some response. 2","author":[{"dropping-particle":"","family":"M","given":"Luisetto","non-dropping-particle":"","parse-names":false,"suffix":""},{"dropping-particle":"","family":"Almukthar","given":"Naseer","non-dropping-particle":"","parse-names":false,"suffix":""},{"dropping-particle":"","family":"Edbey","given":"Khaled","non-dropping-particle":"","parse-names":false,"suffix":""},{"dropping-particle":"","family":"C","given":"Fiazza","non-dropping-particle":"","parse-names":false,"suffix":""},{"dropping-particle":"","family":"Rafa","given":"Ahmed Yesvi","non-dropping-particle":"","parse-names":false,"suffix":""},{"dropping-particle":"","family":"Mashori","given":"Ghulam Rasool","non-dropping-particle":"","parse-names":false,"suffix":""},{"dropping-particle":"","family":"Yurevich","given":"Latishev O.","non-dropping-particle":"","parse-names":false,"suffix":""}],"container-title":"INTERNATIONAL JOURNAL OF MEDICINE AND HEALTHCARE REPORTS","id":"ITEM-2","issue":"01","issued":{"date-parts":[["2021"]]},"title":"Deforestation, Air Pollution And Brasiliant Covid-19 Variant","type":"article-journal","volume":"01"},"uris":["http://www.mendeley.com/documents/?uuid=89f2a138-6a25-3147-a277-c0c40165b5b6"]},{"id":"ITEM-3","itemData":{"abstract":"This paper examines deforestation's effect on the COVID-19 transmission to indigenous peoples and its transmission mechanisms. To that end, I analyze the Brazilian case and use new datasets that cover all the country's municipalities daily. Relying on a fixed-effects model, I find that deforestation is a powerful and consistent variable to explain the transmission of COVID-19 to indigenous populations. The estimates show that one unit increase in deforestation per 100 km2 is associated, on average, with the confirmation of 2.4 to 5.5 new daily cases of COVID-19 in indigenous people 14 days after the deforestation warnings. One km2 deforested today results in 9.5% more new COVID-19 cases in two weeks. In accumulated terms, deforestation explains at least 22% of all COVID-19 cases confirmed in indigenous people until 31 August 2020. The evidence suggests that the main mechanisms through which deforestation intensifies human contact between indigenous and infected people are illegal mining and conflicts.","author":[{"dropping-particle":"","family":"Laudares","given":"Humberto","non-dropping-particle":"","parse-names":false,"suffix":""}],"container-title":"Covid Economics: vetted and real-time papers","id":"ITEM-3","issue":"53","issued":{"date-parts":[["2020"]]},"title":"Is deforestation spreading COVID-19 to the indigenous peoples?","type":"article-journal"},"uris":["http://www.mendeley.com/documents/?uuid=cb92f696-d571-3121-acdf-114302a54c3e"]},{"id":"ITEM-4","itemData":{"abstract":"Poaching and deforestation in the tropics have increased since COVID-19 restrictions went into effect around the world, according to recent reports from Conservation International field offices.","author":[{"dropping-particle":"","family":"CI","given":"","non-dropping-particle":"","parse-names":false,"suffix":""}],"container-title":"Conservation International (CI)","id":"ITEM-4","issued":{"date-parts":[["2020"]]},"title":"Poaching, deforestation reportedly on the rise since COVID-19 lockdowns","type":"article"},"uris":["http://www.mendeley.com/documents/?uuid=f1ab23f7-326c-3f95-83c6-ed9b99845026"]},{"id":"ITEM-5","itemData":{"DOI":"10.1007/s11676-022-01561-7","ISSN":"19930607","abstract":"As the COVID-19 pandemic unfolded, questions arose as to whether the pandemic would amplify or pacify tropical deforestation. Early reports warned of increased deforestation rates; however, these studies were limited to a few months in 2020 or to selected regions. To better understand how the pandemic influenced tropical deforestation globally, this study used historical deforestation data (2004–2019) from the Terra-i pantropical land cover change monitoring system to project expected deforestation trends for 2020, which were used to determine whether observed deforestation deviated from expected trajectories after the first COVID-19 cases were reported. Time series analyses were conducted at the regional level for the Americas, Africa and Asia and at the country level for Brazil, Colombia, Peru, the Democratic Republic of Congo and Indonesia. Our results suggest that the pandemic did not alter the course of deforestation trends in some countries (e.g., Brazil, Indonesia), while it did in others (e.g., Peru). We posit the importance of monitoring the long-term effects of the pandemic on deforestation trends as countries prioritize economic recovery in the aftermath of the pandemic.","author":[{"dropping-particle":"","family":"Céspedes","given":"Jonnathan","non-dropping-particle":"","parse-names":false,"suffix":""},{"dropping-particle":"","family":"Sylvester","given":"Janelle M.","non-dropping-particle":"","parse-names":false,"suffix":""},{"dropping-particle":"","family":"Pérez-Marulanda","given":"Lisset","non-dropping-particle":"","parse-names":false,"suffix":""},{"dropping-particle":"","family":"Paz-Garcia","given":"Paula","non-dropping-particle":"","parse-names":false,"suffix":""},{"dropping-particle":"","family":"Reymondin","given":"Louis","non-dropping-particle":"","parse-names":false,"suffix":""},{"dropping-particle":"","family":"Khodadadi","given":"Mehran","non-dropping-particle":"","parse-names":false,"suffix":""},{"dropping-particle":"","family":"Tello","given":"Jhon J.","non-dropping-particle":"","parse-names":false,"suffix":""},{"dropping-particle":"","family":"Castro-Nunez","given":"Augusto","non-dropping-particle":"","parse-names":false,"suffix":""}],"container-title":"Journal of Forestry Research","id":"ITEM-5","issued":{"date-parts":[["2022"]]},"title":"Has global deforestation accelerated due to the COVID-19 pandemic?","type":"article-journal"},"uris":["http://www.mendeley.com/documents/?uuid=1914d417-d964-336b-9eb1-2d0aaf514e00"]},{"id":"ITEM-6","itemData":{"DOI":"10.1016/j.pecon.2020.09.006","ISSN":"25300644","abstract":"Tropical deforestation drivers are complex and can change rapidly in periods of profound societal transformation, such as those during a pandemic. Evidence suggests that the COVID-19 pandemic has spurred illegal, opportunistic forest clearing in tropical countries, threatening forest ecosystems and their resident human communities. A total of 9583 km2 of deforestation alerts from Global Land Analysis &amp; Discovery (GLAD) were detected across the global tropics during the first month following the implementation of confinement measures of local governments to reduce COVID-19 spread, which is nearly double that of 2019 (4732 km2). We present a conceptual framework linking tropical deforestation and the current pandemic. Zoonotic diseases, public health, economy, agriculture, and forests may all be reciprocally linked in complex positive and negative feedback loops with overarching consequences. We highlight the emerging threats to nature and society resulting from this complex reciprocal interplay and possible policy interventions that could minimize these threats.","author":[{"dropping-particle":"","family":"Brancalion","given":"Pedro H.S.","non-dropping-particle":"","parse-names":false,"suffix":""},{"dropping-particle":"","family":"Broadbent","given":"Eben N.","non-dropping-particle":"","parse-names":false,"suffix":""},{"dropping-particle":"","family":"de-Miguel","given":"Sergio","non-dropping-particle":"","parse-names":false,"suffix":""},{"dropping-particle":"","family":"Cardil","given":"Adrián","non-dropping-particle":"","parse-names":false,"suffix":""},{"dropping-particle":"","family":"Rosa","given":"Marcos R.","non-dropping-particle":"","parse-names":false,"suffix":""},{"dropping-particle":"","family":"Almeida","given":"Catherine T.","non-dropping-particle":"","parse-names":false,"suffix":""},{"dropping-particle":"","family":"Almeida","given":"Danilo R.A.","non-dropping-particle":"","parse-names":false,"suffix":""},{"dropping-particle":"","family":"Chakravarty","given":"Shourish","non-dropping-particle":"","parse-names":false,"suffix":""},{"dropping-particle":"","family":"Zhou","given":"Mo","non-dropping-particle":"","parse-names":false,"suffix":""},{"dropping-particle":"","family":"Gamarra","given":"Javier G.P.","non-dropping-particle":"","parse-names":false,"suffix":""},{"dropping-particle":"","family":"Liang","given":"Jingjing","non-dropping-particle":"","parse-names":false,"suffix":""},{"dropping-particle":"","family":"Crouzeilles","given":"Renato","non-dropping-particle":"","parse-names":false,"suffix":""},{"dropping-particle":"","family":"Hérault","given":"Bruno","non-dropping-particle":"","parse-names":false,"suffix":""},{"dropping-particle":"","family":"Aragão","given":"Luiz E.O.C.","non-dropping-particle":"","parse-names":false,"suffix":""},{"dropping-particle":"","family":"Silva","given":"Carlos Alberto","non-dropping-particle":"","parse-names":false,"suffix":""},{"dropping-particle":"","family":"Almeyda-Zambrano","given":"Angelica M.","non-dropping-particle":"","parse-names":false,"suffix":""}],"container-title":"Perspectives in Ecology and Conservation","id":"ITEM-6","issue":"4","issued":{"date-parts":[["2020"]]},"title":"Emerging threats linking tropical deforestation and the COVID-19 pandemic","type":"article-journal","volume":"18"},"uris":["http://www.mendeley.com/documents/?uuid=0336a749-34d0-367d-8316-2dc8802bb4ab"]}],"mendeley":{"formattedCitation":"(Brancalion et al., 2020a, 2020b; Céspedes et al., 2022; CI, 2020; Laudares, 2020; M et al., 2021)","plainTextFormattedCitation":"(Brancalion et al., 2020a, 2020b; Céspedes et al., 2022; CI, 2020; Laudares, 2020; M et al., 2021)","previouslyFormattedCitation":"(Brancalion et al., 2020a, 2020b; Céspedes et al., 2022; CI, 2020; Laudares, 2020; M et al., 2021)"},"properties":{"noteIndex":0},"schema":"https://github.com/citation-style-language/schema/raw/master/csl-citation.json"}</w:instrText>
      </w:r>
      <w:r w:rsidRPr="008512EA">
        <w:rPr>
          <w:rFonts w:ascii="Minion Pro" w:hAnsi="Minion Pro"/>
        </w:rPr>
        <w:fldChar w:fldCharType="separate"/>
      </w:r>
      <w:r w:rsidRPr="008512EA">
        <w:rPr>
          <w:rFonts w:ascii="Minion Pro" w:hAnsi="Minion Pro"/>
          <w:noProof/>
        </w:rPr>
        <w:t>(Brancalion et al., 2020a, 2020b; Céspedes et al., 2022; CI, 2020; Laudares, 2020; M et al., 2021)</w:t>
      </w:r>
      <w:r w:rsidRPr="008512EA">
        <w:rPr>
          <w:rFonts w:ascii="Minion Pro" w:hAnsi="Minion Pro"/>
        </w:rPr>
        <w:fldChar w:fldCharType="end"/>
      </w:r>
      <w:r w:rsidRPr="008512EA">
        <w:rPr>
          <w:rFonts w:ascii="Minion Pro" w:hAnsi="Minion Pro"/>
        </w:rPr>
        <w:t xml:space="preserve">. </w:t>
      </w:r>
    </w:p>
    <w:p w14:paraId="2A5B70A8" w14:textId="0CDFCBAD" w:rsidR="008512EA" w:rsidRDefault="008512EA" w:rsidP="008512EA">
      <w:pPr>
        <w:pStyle w:val="MDPI31text"/>
        <w:spacing w:line="360" w:lineRule="auto"/>
        <w:ind w:left="0" w:firstLine="720"/>
        <w:rPr>
          <w:rFonts w:ascii="Minion Pro" w:hAnsi="Minion Pro"/>
          <w:color w:val="auto"/>
        </w:rPr>
      </w:pPr>
      <w:r w:rsidRPr="008512EA">
        <w:rPr>
          <w:rFonts w:ascii="Minion Pro" w:hAnsi="Minion Pro"/>
        </w:rPr>
        <w:t>Considering the negative effect of deforestation, recently the Government of Indonesia launched program called FOLU Net Sink. This program aims to sequestrate GHGs bigger than the emission from forestry and other land use sectors. The goal of FOLU net sink articulate in 5 main strategies: reduction emission from deforestation and forest degradation, establishment of forest plantations, sustainable forest management, forest rehabilitation and management of peat ecosystem</w:t>
      </w:r>
      <w:r w:rsidRPr="008512EA">
        <w:rPr>
          <w:rFonts w:ascii="Minion Pro" w:hAnsi="Minion Pro"/>
        </w:rPr>
        <w:fldChar w:fldCharType="begin" w:fldLock="1"/>
      </w:r>
      <w:r w:rsidR="00147C11">
        <w:rPr>
          <w:rFonts w:ascii="Minion Pro" w:hAnsi="Minion Pro"/>
        </w:rPr>
        <w:instrText>ADDIN CSL_CITATION {"citationItems":[{"id":"ITEM-1","itemData":{"id":"ITEM-1","issued":{"date-parts":[["2022"]]},"title":"Submission by Indonesia NATIONAL FOREST REFERENCE LEVEL FOR DEFORESTATION , FOREST Editor in Chief","type":"article-journal"},"uris":["http://www.mendeley.com/documents/?uuid=20efeaf0-a3eb-45e9-bf7a-c23d00155e74"]},{"id":"ITEM-2","itemData":{"abstract":"See notes. Social economic data, very little environmental, only climate (rainfall temp etc) for 3 cities.","author":[{"dropping-particle":"","family":"BPS Kalteng","given":"","non-dropping-particle":"","parse-names":false,"suffix":""}],"container-title":"Provinsi Kalimantan Tengah Dalam Angka","id":"ITEM-2","issued":{"date-parts":[["2022"]]},"title":"Provinsi Kalimantan Tengah Dalam Angka","type":"article-journal"},"uris":["http://www.mendeley.com/documents/?uuid=d0643688-07fd-372d-bb67-19a1c308ede6"]}],"mendeley":{"formattedCitation":"(BPS Kalteng, 2022; &lt;i&gt;Submission by Indonesia NATIONAL FOREST REFERENCE LEVEL FOR DEFORESTATION , FOREST Editor in Chief&lt;/i&gt;, 2022)","plainTextFormattedCitation":"(BPS Kalteng, 2022; Submission by Indonesia NATIONAL FOREST REFERENCE LEVEL FOR DEFORESTATION , FOREST Editor in Chief, 2022)","previouslyFormattedCitation":"(BPS Kalteng, 2022; ‘Submission by Indonesia NATIONAL FOREST REFERENCE LEVEL FOR DEFORESTATION , FOREST Editor in Chief’, 2022)"},"properties":{"noteIndex":0},"schema":"https://github.com/citation-style-language/schema/raw/master/csl-citation.json"}</w:instrText>
      </w:r>
      <w:r w:rsidRPr="008512EA">
        <w:rPr>
          <w:rFonts w:ascii="Minion Pro" w:hAnsi="Minion Pro"/>
        </w:rPr>
        <w:fldChar w:fldCharType="separate"/>
      </w:r>
      <w:r w:rsidR="00147C11" w:rsidRPr="00147C11">
        <w:rPr>
          <w:rFonts w:ascii="Minion Pro" w:hAnsi="Minion Pro"/>
          <w:noProof/>
        </w:rPr>
        <w:t xml:space="preserve">(BPS Kalteng, 2022; </w:t>
      </w:r>
      <w:r w:rsidR="00147C11" w:rsidRPr="00147C11">
        <w:rPr>
          <w:rFonts w:ascii="Minion Pro" w:hAnsi="Minion Pro"/>
          <w:i/>
          <w:noProof/>
        </w:rPr>
        <w:t>Submission by Indonesia NATIONAL FOREST REFERENCE LEVEL FOR DEFORESTATION , FOREST Editor in Chief</w:t>
      </w:r>
      <w:r w:rsidR="00147C11" w:rsidRPr="00147C11">
        <w:rPr>
          <w:rFonts w:ascii="Minion Pro" w:hAnsi="Minion Pro"/>
          <w:noProof/>
        </w:rPr>
        <w:t>, 2022)</w:t>
      </w:r>
      <w:r w:rsidRPr="008512EA">
        <w:rPr>
          <w:rFonts w:ascii="Minion Pro" w:hAnsi="Minion Pro"/>
        </w:rPr>
        <w:fldChar w:fldCharType="end"/>
      </w:r>
      <w:r w:rsidRPr="008512EA">
        <w:rPr>
          <w:rFonts w:ascii="Minion Pro" w:hAnsi="Minion Pro"/>
        </w:rPr>
        <w:t xml:space="preserve">. Forest vegetation and soils continue to be important on carbon sinks, even though deforestation and forest degradation contribute to around 17% of the world's greenhouse gas emissions. Together, </w:t>
      </w:r>
      <w:proofErr w:type="gramStart"/>
      <w:r w:rsidRPr="008512EA">
        <w:rPr>
          <w:rFonts w:ascii="Minion Pro" w:hAnsi="Minion Pro"/>
        </w:rPr>
        <w:t>tropical</w:t>
      </w:r>
      <w:proofErr w:type="gramEnd"/>
      <w:r w:rsidRPr="008512EA">
        <w:rPr>
          <w:rFonts w:ascii="Minion Pro" w:hAnsi="Minion Pro"/>
        </w:rPr>
        <w:t xml:space="preserve"> and subtropical forests hold more than half of the carbon dioxide (CO</w:t>
      </w:r>
      <w:r w:rsidRPr="008512EA">
        <w:rPr>
          <w:rFonts w:ascii="Minion Pro" w:hAnsi="Minion Pro"/>
          <w:vertAlign w:val="subscript"/>
        </w:rPr>
        <w:t>2</w:t>
      </w:r>
      <w:r w:rsidRPr="008512EA">
        <w:rPr>
          <w:rFonts w:ascii="Minion Pro" w:hAnsi="Minion Pro"/>
        </w:rPr>
        <w:t>) in the atmosphere.</w:t>
      </w:r>
    </w:p>
    <w:p w14:paraId="282CD375" w14:textId="05BCA200" w:rsidR="008512EA" w:rsidRDefault="008512EA" w:rsidP="008512EA">
      <w:pPr>
        <w:pStyle w:val="MDPI31text"/>
        <w:spacing w:line="360" w:lineRule="auto"/>
        <w:ind w:left="0" w:firstLine="720"/>
        <w:rPr>
          <w:rFonts w:ascii="Minion Pro" w:hAnsi="Minion Pro"/>
          <w:color w:val="auto"/>
        </w:rPr>
      </w:pPr>
      <w:r w:rsidRPr="008512EA">
        <w:rPr>
          <w:rFonts w:ascii="Minion Pro" w:hAnsi="Minion Pro"/>
        </w:rPr>
        <w:t xml:space="preserve">The result of this research may contribute to the achievement of the Indonesia NDC by inform the decision makers about the characteristic of deforestation in Central Kalimantan as the largest province in Indonesia. Additionally, the primary causes of land-use changes are the increase of agriculture and deforestation. Given that peat swamp forest ecosystems in Central Kalimantan also could support extraordinarily high biodiversity and enormous amounts of carbon, deforestation in this area has the potential to have negative effects on the entire planet </w:t>
      </w:r>
      <w:r w:rsidRPr="008512EA">
        <w:rPr>
          <w:rFonts w:ascii="Minion Pro" w:hAnsi="Minion Pro"/>
        </w:rPr>
        <w:fldChar w:fldCharType="begin" w:fldLock="1"/>
      </w:r>
      <w:r w:rsidR="00147C11">
        <w:rPr>
          <w:rFonts w:ascii="Minion Pro" w:hAnsi="Minion Pro"/>
        </w:rPr>
        <w:instrText>ADDIN CSL_CITATION {"citationItems":[{"id":"ITEM-1","itemData":{"DOI":"10.1111/j.1365-2486.2011.02398.x","ISSN":"13541013","abstract":"Insular Southeast Asia experienced the highest level of deforestation among all humid tropical regions of the world during the 1990s. Owing to the exceptionally high biodiversity in Southeast Asian forest ecosystems and the immense amount of carbon stored in forested peatlands, deforestation in this region has the potential to cause serious global consequences. In this study, we analysed deforestation rates in insular Southeast Asia between 2000 and 2010 utilizing a pair of 250m spatial resolution land cover maps produced with regional methodology and classification scheme. The results revealed an overall 1.0% yearly decline in forest cover in insular Southeast Asia (including the Indonesian part of New Guinea) with main change trajectories to plantations and secondary vegetation. Throughout the region, peat swamp forests experienced clearly the highest deforestation rates at an average annual rate of 2.2%, while lowland evergreen forests declined by 1.2%/yr. In addition, the analysis showed remarkable spatial variation in deforestation levels within the region and exposed two extreme concentration areas with over 5.0% annual forest loss: the eastern lowlands of Sumatra and the peatlands of Sarawak, Borneo. Both of these areas lost around half of their year 2000 peat swamp forest cover by 2010. As a whole this study has shown that deforestation has continued to take place on high level in insular Southeast Asia since the turn of the millennium. These on-going changes not only endanger the existence of numerous forest species endemic to this region, but they further increase the elevated carbon emissions from deforested peatlands of insular Southeast Asia thereby directly contributing to the rising carbon dioxide concentration in the atmosphere. © 2011 Blackwell Publishing Ltd.","author":[{"dropping-particle":"","family":"Miettinen","given":"Jukka","non-dropping-particle":"","parse-names":false,"suffix":""},{"dropping-particle":"","family":"Shi","given":"Chenghua","non-dropping-particle":"","parse-names":false,"suffix":""},{"dropping-particle":"","family":"Liew","given":"Soo Chin","non-dropping-particle":"","parse-names":false,"suffix":""}],"container-title":"Global Change Biology","id":"ITEM-1","issue":"7","issued":{"date-parts":[["2011"]]},"title":"Deforestation rates in insular Southeast Asia between 2000 and 2010","type":"article-journal","volume":"17"},"uris":["http://www.mendeley.com/documents/?uuid=66b3db5d-d2d8-3cdf-9b24-baa6f0fe419c"]},{"id":"ITEM-2","itemData":{"DOI":"10.1029/1999JD900057","ISSN":"01480227","abstract":"The geographic distribution of vegetation over the Earth's land surface is traditionally described using classification schemes with discrete numbers of vegetation types. When such land cover data sets are used as boundary conditions in Earth system models, abrupt boundaries and unrealistic homogeneity are introduced into parameter estimates. This paper proposes an alternative approach to describe global land cover with continuous fields of vegetation characteristics. A linear mixture model is applied to 1-km advanced very high resolution radiometer data to estimate proportional cover for three important vegetation characteristics: life form (percent woody vegetation, percent herbaceous vegetation, and percent bare ground), leaf type (percent needleleaf and percent broadleaf), and leaf duration (percent evergreen and percent deciduous). Linear discriminants for input into the mixture model are derived from 30 metrics representing the annual phenological cycle. Through comparison with training data derived from a global network of Landsat multispectral scanner scenes, we conclude that the linear assumption implicit in the linear mixture model is not severely violated. The linear relationships between percent cover as determined from the training data and the linear discriminants are used to estimate end-member values, and the mixture model is applied to derive the seven layers of global continuous fields. The availability of Moderate Resolution Imaging Spectroradiometer data in the future holds promise for refining the simple technique used in this paper to derive improved global continuous fields. Copyright 1999 by the American Geophysical Union.","author":[{"dropping-particle":"","family":"DeFries","given":"R. S.","non-dropping-particle":"","parse-names":false,"suffix":""},{"dropping-particle":"","family":"Townshend","given":"J. R.G.","non-dropping-particle":"","parse-names":false,"suffix":""},{"dropping-particle":"","family":"Hansen","given":"M. C.","non-dropping-particle":"","parse-names":false,"suffix":""}],"container-title":"Journal of Geophysical Research Atmospheres","id":"ITEM-2","issue":"D14","issued":{"date-parts":[["1999"]]},"title":"Continuous fields of vegetation characteristics at the global scale at 1-km resolution","type":"article-journal","volume":"104"},"uris":["http://www.mendeley.com/documents/?uuid=7453b0c1-3dec-30f1-819b-c7a7dfd924d5"]}],"mendeley":{"formattedCitation":"(DeFries et al., 1999; Miettinen et al., 2011)","plainTextFormattedCitation":"(DeFries et al., 1999; Miettinen et al., 2011)","previouslyFormattedCitation":"(DeFries, Townshend, &amp; Hansen, 1999; Miettinen, Shi, &amp; Liew, 2011)"},"properties":{"noteIndex":0},"schema":"https://github.com/citation-style-language/schema/raw/master/csl-citation.json"}</w:instrText>
      </w:r>
      <w:r w:rsidRPr="008512EA">
        <w:rPr>
          <w:rFonts w:ascii="Minion Pro" w:hAnsi="Minion Pro"/>
        </w:rPr>
        <w:fldChar w:fldCharType="separate"/>
      </w:r>
      <w:r w:rsidR="00147C11" w:rsidRPr="00147C11">
        <w:rPr>
          <w:rFonts w:ascii="Minion Pro" w:hAnsi="Minion Pro"/>
          <w:noProof/>
        </w:rPr>
        <w:t>(DeFries et al., 1999; Miettinen et al., 2011)</w:t>
      </w:r>
      <w:r w:rsidRPr="008512EA">
        <w:rPr>
          <w:rFonts w:ascii="Minion Pro" w:hAnsi="Minion Pro"/>
        </w:rPr>
        <w:fldChar w:fldCharType="end"/>
      </w:r>
      <w:r w:rsidRPr="008512EA">
        <w:rPr>
          <w:rFonts w:ascii="Minion Pro" w:hAnsi="Minion Pro"/>
        </w:rPr>
        <w:t>. Research on the causes of the unsuccessful forest law enforcement policies and initiatives over the past 20 years, beginning with the first Forest Law Enforcement, Governance and Trade conference held in Bali in 2001, would help Indon</w:t>
      </w:r>
      <w:r w:rsidRPr="008512EA">
        <w:rPr>
          <w:rFonts w:ascii="Minion Pro" w:hAnsi="Minion Pro"/>
          <w:color w:val="auto"/>
        </w:rPr>
        <w:t xml:space="preserve">esia's efforts and those of other nations </w:t>
      </w:r>
      <w:r w:rsidRPr="008512EA">
        <w:rPr>
          <w:rFonts w:ascii="Minion Pro" w:hAnsi="Minion Pro"/>
          <w:color w:val="auto"/>
        </w:rPr>
        <w:fldChar w:fldCharType="begin" w:fldLock="1"/>
      </w:r>
      <w:r w:rsidR="00147C11">
        <w:rPr>
          <w:rFonts w:ascii="Minion Pro" w:hAnsi="Minion Pro"/>
          <w:color w:val="auto"/>
        </w:rPr>
        <w:instrText>ADDIN CSL_CITATION {"citationItems":[{"id":"ITEM-1","itemData":{"DOI":"10.1088/1748-9326/aaf6db","ISSN":"17489326","abstract":"We investigate the causes of deforestation in Indonesia, a country with one of the highest rates of primary natural forest loss in the tropics, annually between 2001 and 2016. We use high spatial resolution imagery made available on Google Earth to characterize the land cover types following a random selection of deforestation events, drawn from the Global Forest Change dataset. Notorious in the region, large-scale oil palm and timber plantations together contributed more than two-fifths of nationwide deforestation over our study period, with a peak in late aughts followed by a notable decline up to 2016. Conversion of forests to grasslands, which comprised an average of one-fifth of national deforestation, rose sharply in dominance in years following periods of considerable fire activity, particularly in 2016. Small-scale agriculture and small-scale plantations also contributed one-fifth of nationwide forest loss and were the dominant drivers of loss outside the major islands of Indonesia. Although relatively small contributors to total deforestation, logging roads were responsible for a declining share of deforestation, and mining activities were responsible for an increasing share, over the study period. Direct drivers of deforestation in Indonesia are thus spatially and temporally dynamic, suggesting the need for forest conservation policy responses tailored at the subnational level, and new methods for monitoring the causes of deforestation over time.","author":[{"dropping-particle":"","family":"Austin","given":"Kemen G.","non-dropping-particle":"","parse-names":false,"suffix":""},{"dropping-particle":"","family":"Schwantes","given":"Amanda","non-dropping-particle":"","parse-names":false,"suffix":""},{"dropping-particle":"","family":"Gu","given":"Yaofeng","non-dropping-particle":"","parse-names":false,"suffix":""},{"dropping-particle":"","family":"Kasibhatla","given":"Prasad S.","non-dropping-particle":"","parse-names":false,"suffix":""}],"container-title":"Environmental Research Letters","id":"ITEM-1","issue":"2","issued":{"date-parts":[["2019"]]},"publisher":"IOP Publishing","title":"What causes deforestation in Indonesia?","type":"article-journal","volume":"14"},"uris":["http://www.mendeley.com/documents/?uuid=4447f88d-7954-4d09-a50c-7809a675a100"]},{"id":"ITEM-2","itemData":{"DOI":"10.15181/rfds.v25i2.1745","ISSN":"2029-9370","abstract":"This paper evaluates the impact of corruption on deforestation in Indonesia. The world’s nature environment and global warming questions are one of the main factors of international concerns. Massive deforestation threatens Indonesian biodiversity. This research paper analyses issues of whether deforestation in Indonesia is caused by corruption and supported by crude palm oil production. This issue was questioned earlier by using Engel Granger cointegration test, three time series of data, specifically corruption perception index (CPI), rate of deforestation and price of crude palm oil that was inspected for a long-run relationship. Yet long-run relationship was not found. The author of this article shows that while answering this question, CPI values are not as important as the very nature of corruption in Indonesia. However, CPI is still extremely high in Indonesia as the nature of corruption is convenient for illegal logging. Thus, international response is needed so that to decrease the level of deforestation in Indonesia. With the new European Union Law that requires legal sourcing of wood products, Indonesia commits to enforce new rules in the Asia’s largest rainforest. For example, FLEGT licensing became operational on November 15, 2016. The European Union is strictly enforcing these rules what is a good step against deforestation in hand with illegal logging in Indonesia. In this way to analyse in detail the FLEGT programme and the EU activities, is beyond the scope of this paper. There stays questioned the Indonesian Presidents’ ban on new palm oil plantations and mining licence, because such approach can potentially increase corruption and unofficial economy at local levels. The author of this paper wants to fulfil the gap in understanding about the link between deforestation in Indonesia and corruption. The level of corruption in Indonesia is not the main issue, but the nature of corruption is the main problem.  KEYWORDS: corruption, FLEGT licensing, deforestation, international relations.  JEL CODES: D73, Q2, Q5,  DOI: http://dx.doi.org/10.15181/rfds.v25i2.1745","author":[{"dropping-particle":"","family":"Pachmann","given":"Ales","non-dropping-particle":"","parse-names":false,"suffix":""}],"container-title":"Regional Formation and Development Studies","id":"ITEM-2","issue":"2","issued":{"date-parts":[["2021"]]},"page":"55-62","title":"Corruption and Deforestation in Indonesia","type":"article-journal","volume":"2"},"uris":["http://www.mendeley.com/documents/?uuid=c7f4d5f0-0011-45ea-b8b8-edfd2614658f"]},{"id":"ITEM-3","itemData":{"DOI":"10.1109/IGARSS.2019.8900121","abstract":"Monitoring of the forests of Indonesia is performed by the Ministry of Environment and Forestry (MoEF) in collaboration with the Indonesian Space Agency (LAPAN). The MoEF mapping method entails the visual interpretation of Landsat, with national-scale map products made from 1990 onward. As part of the development of a national carbon accounting system, LAPAN developed a method for processing national-scale mosaics, which were used to prototype forest loss algorithms. The mosaics are now used as the primary reference for the MoEF map updates. We assessed the accuracy of the MoEF time-series maps of forest cover and found a high accuracy for tracking primary and secondary forest loss. However, improving the efficiency and timely delivery of the annual update is now the primary focus of the MoEF/LAPAN collaboration. A new spectral product that highlights areas of likely land change based on a spectral index and forest loss indication map are now used to help target analysts efforts in updating the annual map. This review of the national Indonesia forest monitoring system highlights 1) the strategic collaboration by operational and research agencies, 2) the desire to maintain a consistent methodological framework, 3) and the recent improvements in product latency and accuracy.","author":[{"dropping-particle":"","family":"Wijaya","given":"Arief","non-dropping-particle":"","parse-names":false,"suffix":""},{"dropping-particle":"","family":"Firmansyah","given":"Rizky","non-dropping-particle":"","parse-names":false,"suffix":""},{"dropping-particle":"","family":"Said","given":"Zuraidah","non-dropping-particle":"","parse-names":false,"suffix":""},{"dropping-particle":"","family":"Nathania","given":"Benita","non-dropping-particle":"","parse-names":false,"suffix":""}],"container-title":"International Geoscience and Remote Sensing Symposium (IGARSS)","id":"ITEM-3","issued":{"date-parts":[["2019"]]},"title":"Monitoring of Indonesia tropical rainforests and land cover change using hybrid approach of time series landsat data","type":"paper-conference","volume":"2019-July"},"uris":["http://www.mendeley.com/documents/?uuid=c8282c1b-da95-3da5-a03c-a36c79cb30ba"]}],"mendeley":{"formattedCitation":"(Kemen G. Austin et al., 2019; Pachmann, 2021; Wijaya et al., 2019)","plainTextFormattedCitation":"(Kemen G. Austin et al., 2019; Pachmann, 2021; Wijaya et al., 2019)","previouslyFormattedCitation":"(Kemen G. Austin et al., 2019; Pachmann, 2021; Wijaya, Firmansyah, Said, &amp; Nathania, 2019)"},"properties":{"noteIndex":0},"schema":"https://github.com/citation-style-language/schema/raw/master/csl-citation.json"}</w:instrText>
      </w:r>
      <w:r w:rsidRPr="008512EA">
        <w:rPr>
          <w:rFonts w:ascii="Minion Pro" w:hAnsi="Minion Pro"/>
          <w:color w:val="auto"/>
        </w:rPr>
        <w:fldChar w:fldCharType="separate"/>
      </w:r>
      <w:r w:rsidR="00147C11" w:rsidRPr="00147C11">
        <w:rPr>
          <w:rFonts w:ascii="Minion Pro" w:hAnsi="Minion Pro"/>
          <w:noProof/>
          <w:color w:val="auto"/>
        </w:rPr>
        <w:t>(Kemen G. Austin et al., 2019; Pachmann, 2021; Wijaya et al., 2019)</w:t>
      </w:r>
      <w:r w:rsidRPr="008512EA">
        <w:rPr>
          <w:rFonts w:ascii="Minion Pro" w:hAnsi="Minion Pro"/>
          <w:color w:val="auto"/>
        </w:rPr>
        <w:fldChar w:fldCharType="end"/>
      </w:r>
      <w:r w:rsidRPr="008512EA">
        <w:rPr>
          <w:rFonts w:ascii="Minion Pro" w:hAnsi="Minion Pro"/>
          <w:color w:val="auto"/>
        </w:rPr>
        <w:t>. Government policies in this case handling and preventing deforestation and forest degradation at the provincial level include, among others, through mainstreaming green growth and low carbon development in all planning documents, both regional development planning (province and district levels) and sectoral development planning (forestry, energy, environment, agriculture, tourism, etc.), including protection and restoration management of peat and mangrove ecosystems.</w:t>
      </w:r>
    </w:p>
    <w:p w14:paraId="3EC936EC" w14:textId="77777777" w:rsidR="008512EA" w:rsidRDefault="008512EA" w:rsidP="008512EA">
      <w:pPr>
        <w:pStyle w:val="MDPI31text"/>
        <w:spacing w:line="360" w:lineRule="auto"/>
        <w:ind w:left="0" w:firstLine="720"/>
        <w:rPr>
          <w:rFonts w:ascii="Minion Pro" w:hAnsi="Minion Pro"/>
          <w:color w:val="auto"/>
        </w:rPr>
      </w:pPr>
      <w:r w:rsidRPr="008512EA">
        <w:rPr>
          <w:rFonts w:ascii="Minion Pro" w:hAnsi="Minion Pro"/>
          <w:color w:val="auto"/>
        </w:rPr>
        <w:t xml:space="preserve">There are several difficulties in this deforestation study, especially in Central Kalimantan Province, including the rapid changes in policies related to the use of forests and land for other uses such as national policies on food estate programs, forest and land fires that occur due to the long drought (ENSO), as well as forest encroachment for agriculture, settlements, and illegal mining. So further and detailed research is needed on serial and integrated spatial analysis of land use changes in Central Kalimantan using ecological, </w:t>
      </w:r>
      <w:proofErr w:type="gramStart"/>
      <w:r w:rsidRPr="008512EA">
        <w:rPr>
          <w:rFonts w:ascii="Minion Pro" w:hAnsi="Minion Pro"/>
          <w:color w:val="auto"/>
        </w:rPr>
        <w:t>economic</w:t>
      </w:r>
      <w:proofErr w:type="gramEnd"/>
      <w:r w:rsidRPr="008512EA">
        <w:rPr>
          <w:rFonts w:ascii="Minion Pro" w:hAnsi="Minion Pro"/>
          <w:color w:val="auto"/>
        </w:rPr>
        <w:t xml:space="preserve"> and socio-cultural approaches with the involvement of experts from various scientific disciplines. </w:t>
      </w:r>
    </w:p>
    <w:p w14:paraId="4AE68C85" w14:textId="0730C134" w:rsidR="008512EA" w:rsidRPr="008512EA" w:rsidRDefault="008512EA" w:rsidP="008512EA">
      <w:pPr>
        <w:pStyle w:val="MDPI31text"/>
        <w:spacing w:line="360" w:lineRule="auto"/>
        <w:ind w:left="0" w:firstLine="720"/>
        <w:rPr>
          <w:rFonts w:ascii="Minion Pro" w:hAnsi="Minion Pro"/>
          <w:color w:val="auto"/>
        </w:rPr>
      </w:pPr>
      <w:r w:rsidRPr="008512EA">
        <w:rPr>
          <w:rFonts w:ascii="Minion Pro" w:hAnsi="Minion Pro"/>
          <w:color w:val="auto"/>
        </w:rPr>
        <w:t xml:space="preserve">One of the challenging questions is what will be the form, speed and mode of deforestation and forest degradation in the future in Central Kalimantan in the face of the relocation of Indonesia's capital city to East </w:t>
      </w:r>
      <w:r w:rsidRPr="008512EA">
        <w:rPr>
          <w:rFonts w:ascii="Minion Pro" w:hAnsi="Minion Pro"/>
          <w:color w:val="auto"/>
        </w:rPr>
        <w:lastRenderedPageBreak/>
        <w:t xml:space="preserve">Kalimantan, as well as various strategic policies to face the increasing food crisis, people migration and drought? </w:t>
      </w:r>
      <w:r w:rsidRPr="008512EA">
        <w:rPr>
          <w:rFonts w:ascii="Minion Pro" w:hAnsi="Minion Pro"/>
          <w:color w:val="auto"/>
        </w:rPr>
        <w:fldChar w:fldCharType="begin" w:fldLock="1"/>
      </w:r>
      <w:r w:rsidR="00147C11">
        <w:rPr>
          <w:rFonts w:ascii="Minion Pro" w:hAnsi="Minion Pro"/>
          <w:color w:val="auto"/>
        </w:rPr>
        <w:instrText>ADDIN CSL_CITATION {"citationItems":[{"id":"ITEM-1","itemData":{"DOI":"10.1201/9781003178163-13","ISBN":"9781032013206","abstract":"This research focuses on mapping the responses of the actors involved in the development plan for the New Capital (IKN) of Indonesia in East Kalimantan. The research method used is descriptive-qualitative with the main data source through in-depth interviews with several key informers and supporting informants. The results showed that there were three forms of response dynamics to the development of IKN in East Kalimantan. 1) Those who accept the construction of the IKN, this group are optimistic that the existence of the IKN will bring about socio-economic changes in the community for the better. 2) Most of the parties who reject the IKN development consist of indigenous peoples and several NGOs in East Kalimantan. The reasons for rejection were the concern about the land of indigenous peoples in the construction site. 3) Moderate or middle-class parties: this party views the IKN development from two sides.","author":[{"dropping-particle":"","family":"Kodir","given":"A.","non-dropping-particle":"","parse-names":false,"suffix":""},{"dropping-particle":"","family":"Hadi","given":"N.","non-dropping-particle":"","parse-names":false,"suffix":""},{"dropping-particle":"","family":"Astina","given":"I.K.","non-dropping-particle":"","parse-names":false,"suffix":""},{"dropping-particle":"","family":"Taryana","given":"D.","non-dropping-particle":"","parse-names":false,"suffix":""},{"dropping-particle":"","family":"Ratnawati","given":"N.","non-dropping-particle":"","parse-names":false,"suffix":""},{"dropping-particle":"","family":"Idris","given":"","non-dropping-particle":"","parse-names":false,"suffix":""}],"container-title":"Development, Social Change and Environmental Sustainability","id":"ITEM-1","issue":"Nugroho 2020","issued":{"date-parts":[["2021"]]},"page":"57-61","title":"The dynamics of community response to the development of the New Capital (IKN) of Indonesia","type":"article-journal"},"uris":["http://www.mendeley.com/documents/?uuid=26a9d55c-5802-490e-b322-790cc9154728"]},{"id":"ITEM-2","itemData":{"ISSN":"22784543","abstract":"On August 26, 2019, President Joko Widodo announced that a new capital city of Indonesia would be built in the administrative area of North Penajam Paser Regency and Kutai Kartanegara Regency, East Kalimantan Province. Therefore, it is very important to conduct research that discusses the identification and analysis of potential disasters in the new capital city of Indonesia and mitigation efforts. This research uses a qualitative research method with a descriptive analytical approach. To collect concrete data, researchers conducted data collection techniques, namely interviews and documentation. The results of the study show that the new capital city of Indonesia has moderate potential disasters, both North Penajam Paser Regency and Kutai Kartanegara Regency are classified as moderate. The potential disasters in the new state capital area are floods, forest and land fires andlandslides. For this reason, disaster mitigation efforts need to be done in moving the new capital of the country. In addition, disaster mitigation efforts can be carried out by active and passive mitigation.","author":[{"dropping-particle":"","family":"Rahmat","given":"Hayatul Khairul","non-dropping-particle":"","parse-names":false,"suffix":""},{"dropping-particle":"","family":"Widana","given":"I. Dewa Ketut Kerta","non-dropping-particle":"","parse-names":false,"suffix":""},{"dropping-particle":"","family":"Basri","given":"A. Said Hasan","non-dropping-particle":"","parse-names":false,"suffix":""},{"dropping-particle":"","family":"Musyrifin","given":"Zaen","non-dropping-particle":"","parse-names":false,"suffix":""}],"container-title":"Disaster Advances","id":"ITEM-2","issue":"3","issued":{"date-parts":[["2021"]]},"page":"40-43","title":"Analysis of potential disaster in the new capital of indonesia and its mitigation efforts: A qualitative approach","type":"article-journal","volume":"14"},"uris":["http://www.mendeley.com/documents/?uuid=f9019cc1-a51e-4fa0-9e81-d705a55b7c17"]}],"mendeley":{"formattedCitation":"(Kodir et al., 2021; Rahmat et al., 2021)","plainTextFormattedCitation":"(Kodir et al., 2021; Rahmat et al., 2021)","previouslyFormattedCitation":"(Kodir et al., 2021; Rahmat, Widana, Basri, &amp; Musyrifin, 2021)"},"properties":{"noteIndex":0},"schema":"https://github.com/citation-style-language/schema/raw/master/csl-citation.json"}</w:instrText>
      </w:r>
      <w:r w:rsidRPr="008512EA">
        <w:rPr>
          <w:rFonts w:ascii="Minion Pro" w:hAnsi="Minion Pro"/>
          <w:color w:val="auto"/>
        </w:rPr>
        <w:fldChar w:fldCharType="separate"/>
      </w:r>
      <w:r w:rsidR="00147C11" w:rsidRPr="00147C11">
        <w:rPr>
          <w:rFonts w:ascii="Minion Pro" w:hAnsi="Minion Pro"/>
          <w:noProof/>
          <w:color w:val="auto"/>
        </w:rPr>
        <w:t>(Kodir et al., 2021; Rahmat et al., 2021)</w:t>
      </w:r>
      <w:r w:rsidRPr="008512EA">
        <w:rPr>
          <w:rFonts w:ascii="Minion Pro" w:hAnsi="Minion Pro"/>
          <w:color w:val="auto"/>
        </w:rPr>
        <w:fldChar w:fldCharType="end"/>
      </w:r>
    </w:p>
    <w:p w14:paraId="4DC05464" w14:textId="77777777" w:rsidR="008B7539" w:rsidRPr="0006768A" w:rsidRDefault="008B7539" w:rsidP="00766F56">
      <w:pPr>
        <w:spacing w:after="0" w:line="360" w:lineRule="auto"/>
        <w:jc w:val="both"/>
        <w:rPr>
          <w:rFonts w:ascii="Minion Pro" w:hAnsi="Minion Pro" w:cs="Times New Roman"/>
          <w:sz w:val="24"/>
          <w:szCs w:val="24"/>
          <w:lang w:val="sv-SE"/>
        </w:rPr>
      </w:pPr>
    </w:p>
    <w:p w14:paraId="5D93661A" w14:textId="77777777" w:rsidR="00E52D0F" w:rsidRDefault="00A6292A" w:rsidP="00766F56">
      <w:pPr>
        <w:spacing w:after="0" w:line="360" w:lineRule="auto"/>
        <w:jc w:val="both"/>
        <w:rPr>
          <w:rFonts w:ascii="Minion Pro" w:hAnsi="Minion Pro" w:cs="Times New Roman"/>
          <w:b/>
          <w:bCs/>
          <w:color w:val="4472C4"/>
          <w:sz w:val="24"/>
          <w:szCs w:val="24"/>
        </w:rPr>
      </w:pPr>
      <w:r>
        <w:rPr>
          <w:rFonts w:ascii="Minion Pro" w:hAnsi="Minion Pro" w:cs="Times New Roman"/>
          <w:b/>
          <w:bCs/>
          <w:color w:val="4472C4"/>
          <w:sz w:val="24"/>
          <w:szCs w:val="24"/>
        </w:rPr>
        <w:t>4</w:t>
      </w:r>
      <w:r w:rsidR="005849EC">
        <w:rPr>
          <w:rFonts w:ascii="Minion Pro" w:hAnsi="Minion Pro" w:cs="Times New Roman"/>
          <w:b/>
          <w:bCs/>
          <w:color w:val="4472C4"/>
          <w:sz w:val="24"/>
          <w:szCs w:val="24"/>
        </w:rPr>
        <w:t>.</w:t>
      </w:r>
      <w:r w:rsidR="00E11B1F">
        <w:rPr>
          <w:rFonts w:ascii="Minion Pro" w:hAnsi="Minion Pro" w:cs="Times New Roman"/>
          <w:b/>
          <w:bCs/>
          <w:color w:val="4472C4"/>
          <w:sz w:val="24"/>
          <w:szCs w:val="24"/>
        </w:rPr>
        <w:t xml:space="preserve"> </w:t>
      </w:r>
      <w:r w:rsidR="00E52D0F">
        <w:rPr>
          <w:rFonts w:ascii="Minion Pro" w:hAnsi="Minion Pro" w:cs="Times New Roman"/>
          <w:b/>
          <w:bCs/>
          <w:color w:val="4472C4"/>
          <w:sz w:val="24"/>
          <w:szCs w:val="24"/>
        </w:rPr>
        <w:t>C</w:t>
      </w:r>
      <w:r w:rsidR="005849EC">
        <w:rPr>
          <w:rFonts w:ascii="Minion Pro" w:hAnsi="Minion Pro" w:cs="Times New Roman"/>
          <w:b/>
          <w:bCs/>
          <w:color w:val="4472C4"/>
          <w:sz w:val="24"/>
          <w:szCs w:val="24"/>
        </w:rPr>
        <w:t xml:space="preserve">onclusion </w:t>
      </w:r>
    </w:p>
    <w:p w14:paraId="1A4BF191" w14:textId="77777777" w:rsidR="008512EA" w:rsidRPr="008512EA" w:rsidRDefault="008512EA" w:rsidP="008512EA">
      <w:pPr>
        <w:pStyle w:val="MDPI31text"/>
        <w:spacing w:line="360" w:lineRule="auto"/>
        <w:ind w:left="0" w:firstLine="720"/>
        <w:rPr>
          <w:rFonts w:ascii="Minion Pro" w:hAnsi="Minion Pro"/>
        </w:rPr>
      </w:pPr>
      <w:r w:rsidRPr="008512EA">
        <w:rPr>
          <w:rFonts w:ascii="Minion Pro" w:hAnsi="Minion Pro"/>
        </w:rPr>
        <w:t xml:space="preserve">Deforestation in Central Kalimantan as the largest province in Indonesia in the period 2006 – 2020 has shown a decline trend that influenced by policy and anthropogenic activities. From the total of 1.5 million ha forest loss within the analysis period, deforestation mostly occurred in peat swamp and dry secondary forest were human activities relatively high. Deforestation resulted in degraded areas such as shrubs, open areas and savanna and cultivated systems including agriculture and plantations. </w:t>
      </w:r>
    </w:p>
    <w:p w14:paraId="54141E39" w14:textId="4D9B5675" w:rsidR="00E52D0F" w:rsidRPr="008512EA" w:rsidRDefault="008512EA" w:rsidP="008512EA">
      <w:pPr>
        <w:pStyle w:val="MDPI31text"/>
        <w:spacing w:line="360" w:lineRule="auto"/>
        <w:ind w:left="0" w:firstLine="720"/>
        <w:rPr>
          <w:rFonts w:ascii="Minion Pro" w:hAnsi="Minion Pro"/>
          <w:sz w:val="24"/>
          <w:szCs w:val="24"/>
        </w:rPr>
      </w:pPr>
      <w:r w:rsidRPr="008512EA">
        <w:rPr>
          <w:rFonts w:ascii="Minion Pro" w:hAnsi="Minion Pro"/>
        </w:rPr>
        <w:t xml:space="preserve">Government policies, especially regulations regarding the eradication of illegal logging, forest and land fires, social forestry, carbon economic value, and the involvement of all forestry related stakeholders are at least able to reduce deforestation and changes in land use in the study area from forest to non-forest. </w:t>
      </w:r>
      <w:r w:rsidRPr="008512EA">
        <w:rPr>
          <w:rFonts w:ascii="Minion Pro" w:hAnsi="Minion Pro"/>
          <w:szCs w:val="18"/>
        </w:rPr>
        <w:t>The finding of this research could be used as a base to determine the target location for rehabilitation strategy and approach to prevent further deforestation.</w:t>
      </w:r>
    </w:p>
    <w:p w14:paraId="22D847DA" w14:textId="77777777" w:rsidR="00476386" w:rsidRPr="00766F56" w:rsidRDefault="00476386" w:rsidP="00766F56">
      <w:pPr>
        <w:spacing w:after="0" w:line="360" w:lineRule="auto"/>
        <w:jc w:val="both"/>
        <w:rPr>
          <w:rFonts w:ascii="Minion Pro" w:hAnsi="Minion Pro" w:cs="Times New Roman"/>
          <w:sz w:val="24"/>
          <w:szCs w:val="24"/>
          <w:lang w:val="id-ID"/>
        </w:rPr>
      </w:pPr>
    </w:p>
    <w:p w14:paraId="5E49332F" w14:textId="77777777" w:rsidR="00E52D0F" w:rsidRDefault="00DD32AC" w:rsidP="00766F56">
      <w:pPr>
        <w:spacing w:after="0" w:line="360" w:lineRule="auto"/>
        <w:jc w:val="both"/>
        <w:rPr>
          <w:rFonts w:ascii="Minion Pro" w:hAnsi="Minion Pro" w:cs="Times New Roman"/>
          <w:b/>
          <w:bCs/>
          <w:color w:val="4472C4"/>
          <w:sz w:val="24"/>
          <w:szCs w:val="24"/>
        </w:rPr>
      </w:pPr>
      <w:r>
        <w:rPr>
          <w:rFonts w:ascii="Minion Pro" w:hAnsi="Minion Pro" w:cs="Times New Roman"/>
          <w:b/>
          <w:bCs/>
          <w:color w:val="4472C4"/>
          <w:sz w:val="24"/>
          <w:szCs w:val="24"/>
        </w:rPr>
        <w:t>A</w:t>
      </w:r>
      <w:r w:rsidR="005849EC">
        <w:rPr>
          <w:rFonts w:ascii="Minion Pro" w:hAnsi="Minion Pro" w:cs="Times New Roman"/>
          <w:b/>
          <w:bCs/>
          <w:color w:val="4472C4"/>
          <w:sz w:val="24"/>
          <w:szCs w:val="24"/>
        </w:rPr>
        <w:t xml:space="preserve">cknowledgement </w:t>
      </w:r>
    </w:p>
    <w:p w14:paraId="393D8CBC" w14:textId="0A3C4E71" w:rsidR="00962C8F" w:rsidRPr="008512EA" w:rsidRDefault="008512EA" w:rsidP="008512EA">
      <w:pPr>
        <w:spacing w:after="0" w:line="360" w:lineRule="auto"/>
        <w:ind w:firstLine="720"/>
        <w:jc w:val="both"/>
        <w:rPr>
          <w:rFonts w:ascii="Minion Pro" w:hAnsi="Minion Pro" w:cs="Times New Roman"/>
          <w:sz w:val="20"/>
          <w:szCs w:val="20"/>
        </w:rPr>
      </w:pPr>
      <w:r w:rsidRPr="008512EA">
        <w:rPr>
          <w:rFonts w:ascii="Minion Pro" w:hAnsi="Minion Pro"/>
          <w:sz w:val="20"/>
          <w:szCs w:val="20"/>
        </w:rPr>
        <w:t>We would like to thank our colleagues from the Central Kalimantan Provincial Forestry Service, the Central Kalimantan Regional Planning and Research Agency (BAPPEDALITBANG) and developing partners (Non-Government Organizations and International Organizations) in Central Kalimantan, as well as from the Center for Development of Science, Technology and Peatland Innovation (PPIIG) University of Palangka Raya, Indonesia for their support and collaborations.</w:t>
      </w:r>
      <w:r w:rsidR="00962C8F" w:rsidRPr="008512EA">
        <w:rPr>
          <w:rFonts w:ascii="Minion Pro" w:hAnsi="Minion Pro" w:cs="Times New Roman"/>
          <w:sz w:val="20"/>
          <w:szCs w:val="20"/>
        </w:rPr>
        <w:t xml:space="preserve"> </w:t>
      </w:r>
    </w:p>
    <w:p w14:paraId="094CC90A" w14:textId="77777777" w:rsidR="00DD32AC" w:rsidRPr="00766F56" w:rsidRDefault="00DD32AC" w:rsidP="00766F56">
      <w:pPr>
        <w:spacing w:after="0" w:line="360" w:lineRule="auto"/>
        <w:jc w:val="both"/>
        <w:rPr>
          <w:rFonts w:ascii="Minion Pro" w:hAnsi="Minion Pro" w:cs="Times New Roman"/>
          <w:b/>
          <w:bCs/>
          <w:sz w:val="24"/>
          <w:szCs w:val="24"/>
        </w:rPr>
      </w:pPr>
    </w:p>
    <w:p w14:paraId="61C935B6" w14:textId="77777777" w:rsidR="00DD32AC" w:rsidRDefault="00DD32AC" w:rsidP="00766F56">
      <w:pPr>
        <w:spacing w:after="0" w:line="360" w:lineRule="auto"/>
        <w:jc w:val="both"/>
        <w:rPr>
          <w:rFonts w:ascii="Minion Pro" w:hAnsi="Minion Pro" w:cs="Times New Roman"/>
          <w:b/>
          <w:bCs/>
          <w:color w:val="4472C4"/>
          <w:sz w:val="24"/>
          <w:szCs w:val="24"/>
        </w:rPr>
      </w:pPr>
      <w:r>
        <w:rPr>
          <w:rFonts w:ascii="Minion Pro" w:hAnsi="Minion Pro" w:cs="Times New Roman"/>
          <w:b/>
          <w:bCs/>
          <w:color w:val="4472C4"/>
          <w:sz w:val="24"/>
          <w:szCs w:val="24"/>
        </w:rPr>
        <w:t xml:space="preserve">References </w:t>
      </w:r>
    </w:p>
    <w:p w14:paraId="5E6D39B3" w14:textId="618AF0BC" w:rsidR="00147C11" w:rsidRPr="00147C11" w:rsidRDefault="00C203E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Pr>
          <w:rFonts w:ascii="Minion Pro" w:hAnsi="Minion Pro"/>
          <w:sz w:val="18"/>
          <w:szCs w:val="18"/>
          <w:lang w:val="en"/>
        </w:rPr>
        <w:fldChar w:fldCharType="begin" w:fldLock="1"/>
      </w:r>
      <w:r>
        <w:rPr>
          <w:rFonts w:ascii="Minion Pro" w:hAnsi="Minion Pro"/>
          <w:sz w:val="18"/>
          <w:szCs w:val="18"/>
          <w:lang w:val="en"/>
        </w:rPr>
        <w:instrText xml:space="preserve">ADDIN Mendeley Bibliography CSL_BIBLIOGRAPHY </w:instrText>
      </w:r>
      <w:r>
        <w:rPr>
          <w:rFonts w:ascii="Minion Pro" w:hAnsi="Minion Pro"/>
          <w:sz w:val="18"/>
          <w:szCs w:val="18"/>
          <w:lang w:val="en"/>
        </w:rPr>
        <w:fldChar w:fldCharType="separate"/>
      </w:r>
      <w:r w:rsidR="00147C11" w:rsidRPr="00147C11">
        <w:rPr>
          <w:rFonts w:ascii="Minion Pro" w:hAnsi="Minion Pro" w:cs="Times New Roman"/>
          <w:noProof/>
          <w:sz w:val="18"/>
          <w:szCs w:val="24"/>
        </w:rPr>
        <w:t xml:space="preserve">A., C. (2001). Decentralisation of policies affecting forests and estate crops in Kutawaringin Timur district, Central Kalimantan. In </w:t>
      </w:r>
      <w:r w:rsidR="00147C11" w:rsidRPr="00147C11">
        <w:rPr>
          <w:rFonts w:ascii="Minion Pro" w:hAnsi="Minion Pro" w:cs="Times New Roman"/>
          <w:i/>
          <w:iCs/>
          <w:noProof/>
          <w:sz w:val="18"/>
          <w:szCs w:val="24"/>
        </w:rPr>
        <w:t>Decentralisation of policies affecting forests and estate crops in Kutawaringin Timur district, Central Kalimantan</w:t>
      </w:r>
      <w:r w:rsidR="00147C11" w:rsidRPr="00147C11">
        <w:rPr>
          <w:rFonts w:ascii="Minion Pro" w:hAnsi="Minion Pro" w:cs="Times New Roman"/>
          <w:noProof/>
          <w:sz w:val="18"/>
          <w:szCs w:val="24"/>
        </w:rPr>
        <w:t>. https://doi.org/10.17528/cifor/001057</w:t>
      </w:r>
    </w:p>
    <w:p w14:paraId="1F4B6624"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Ardiyanto, S. Y., Saraswati, R., &amp; Soponyono, E. (2022). Law Enforcement and Community Participation in Combating Illegal Logging and Deforestation in Indonesia. </w:t>
      </w:r>
      <w:r w:rsidRPr="00147C11">
        <w:rPr>
          <w:rFonts w:ascii="Minion Pro" w:hAnsi="Minion Pro" w:cs="Times New Roman"/>
          <w:i/>
          <w:iCs/>
          <w:noProof/>
          <w:sz w:val="18"/>
          <w:szCs w:val="24"/>
        </w:rPr>
        <w:t>Environment and Ecology Research</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10</w:t>
      </w:r>
      <w:r w:rsidRPr="00147C11">
        <w:rPr>
          <w:rFonts w:ascii="Minion Pro" w:hAnsi="Minion Pro" w:cs="Times New Roman"/>
          <w:noProof/>
          <w:sz w:val="18"/>
          <w:szCs w:val="24"/>
        </w:rPr>
        <w:t>(4), 450–460. https://doi.org/10.13189/eer.2022.100403</w:t>
      </w:r>
    </w:p>
    <w:p w14:paraId="2A9A2BF3"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Austin, K. G., Mosnier, A., Pirker, J., McCallum, I., Fritz, S., &amp; Kasibhatla, P. S. (2017). Shifting patterns of oil palm driven deforestation in Indonesia and implications for zero-deforestation commitments. </w:t>
      </w:r>
      <w:r w:rsidRPr="00147C11">
        <w:rPr>
          <w:rFonts w:ascii="Minion Pro" w:hAnsi="Minion Pro" w:cs="Times New Roman"/>
          <w:i/>
          <w:iCs/>
          <w:noProof/>
          <w:sz w:val="18"/>
          <w:szCs w:val="24"/>
        </w:rPr>
        <w:t>Land Use Policy</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69</w:t>
      </w:r>
      <w:r w:rsidRPr="00147C11">
        <w:rPr>
          <w:rFonts w:ascii="Minion Pro" w:hAnsi="Minion Pro" w:cs="Times New Roman"/>
          <w:noProof/>
          <w:sz w:val="18"/>
          <w:szCs w:val="24"/>
        </w:rPr>
        <w:t>(September), 41–48. https://doi.org/10.1016/j.landusepol.2017.08.036</w:t>
      </w:r>
    </w:p>
    <w:p w14:paraId="7794DDF1"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Austin, Kemen G., Schwantes, A., Gu, Y., &amp; Kasibhatla, P. S. (2019). What causes deforestation in Indonesia? </w:t>
      </w:r>
      <w:r w:rsidRPr="00147C11">
        <w:rPr>
          <w:rFonts w:ascii="Minion Pro" w:hAnsi="Minion Pro" w:cs="Times New Roman"/>
          <w:i/>
          <w:iCs/>
          <w:noProof/>
          <w:sz w:val="18"/>
          <w:szCs w:val="24"/>
        </w:rPr>
        <w:t>Environmental Research Letters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14</w:t>
      </w:r>
      <w:r w:rsidRPr="00147C11">
        <w:rPr>
          <w:rFonts w:ascii="Minion Pro" w:hAnsi="Minion Pro" w:cs="Times New Roman"/>
          <w:noProof/>
          <w:sz w:val="18"/>
          <w:szCs w:val="24"/>
        </w:rPr>
        <w:t>(2). https://doi.org/10.1088/1748-9326/aaf6db</w:t>
      </w:r>
    </w:p>
    <w:p w14:paraId="2513707F"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lastRenderedPageBreak/>
        <w:t xml:space="preserve">Basuki, I., Adinugroho, W. C., Utomo, N. A., Syaugi, A., Tryanto, D. H., Krisnawati, H., Cook‐patton, S. C., &amp; Novita, N. (2022). Reforestation Opportunities in Indonesia: Mitigating Climate Change and Achieving Sustainable Development Goals. </w:t>
      </w:r>
      <w:r w:rsidRPr="00147C11">
        <w:rPr>
          <w:rFonts w:ascii="Minion Pro" w:hAnsi="Minion Pro" w:cs="Times New Roman"/>
          <w:i/>
          <w:iCs/>
          <w:noProof/>
          <w:sz w:val="18"/>
          <w:szCs w:val="24"/>
        </w:rPr>
        <w:t>Forests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13</w:t>
      </w:r>
      <w:r w:rsidRPr="00147C11">
        <w:rPr>
          <w:rFonts w:ascii="Minion Pro" w:hAnsi="Minion Pro" w:cs="Times New Roman"/>
          <w:noProof/>
          <w:sz w:val="18"/>
          <w:szCs w:val="24"/>
        </w:rPr>
        <w:t>(3). https://doi.org/10.3390/f13030447</w:t>
      </w:r>
    </w:p>
    <w:p w14:paraId="75CF7B0B"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Bissonnette, J.-F., &amp; De Koninck, R. (2015). Large plantations versus smallholdings in Southeast Asia: historical and contemporary trends. </w:t>
      </w:r>
      <w:r w:rsidRPr="00147C11">
        <w:rPr>
          <w:rFonts w:ascii="Minion Pro" w:hAnsi="Minion Pro" w:cs="Times New Roman"/>
          <w:i/>
          <w:iCs/>
          <w:noProof/>
          <w:sz w:val="18"/>
          <w:szCs w:val="24"/>
        </w:rPr>
        <w:t>Conference on Land Grabbing, Conflict and Agrarian-Environmental Transformations: Perspective from East and Southeast Asia</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12</w:t>
      </w:r>
      <w:r w:rsidRPr="00147C11">
        <w:rPr>
          <w:rFonts w:ascii="Minion Pro" w:hAnsi="Minion Pro" w:cs="Times New Roman"/>
          <w:noProof/>
          <w:sz w:val="18"/>
          <w:szCs w:val="24"/>
        </w:rPr>
        <w:t>.</w:t>
      </w:r>
    </w:p>
    <w:p w14:paraId="33B05D11"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Boehm, H., &amp; Siegert, F. (2001). Ecological impact of the One Million Hectare Rice Project in Central Kalimantan, Indonesia, using Remote Sensing and GIS. </w:t>
      </w:r>
      <w:r w:rsidRPr="00147C11">
        <w:rPr>
          <w:rFonts w:ascii="Minion Pro" w:hAnsi="Minion Pro" w:cs="Times New Roman"/>
          <w:i/>
          <w:iCs/>
          <w:noProof/>
          <w:sz w:val="18"/>
          <w:szCs w:val="24"/>
        </w:rPr>
        <w:t>Paper Presented at the 22nd Asian Conference on Remote Sensing</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w:t>
      </w:r>
      <w:r w:rsidRPr="00147C11">
        <w:rPr>
          <w:rFonts w:ascii="Minion Pro" w:hAnsi="Minion Pro" w:cs="Times New Roman"/>
          <w:noProof/>
          <w:sz w:val="18"/>
          <w:szCs w:val="24"/>
        </w:rPr>
        <w:t>(November), 6. http://www.crisp.nus.edu.sg/~acrs2001/pdf/126boehm.pdf</w:t>
      </w:r>
    </w:p>
    <w:p w14:paraId="0FEF29A0"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BPS Kalteng. (2022). Provinsi Kalimantan Tengah Dalam Angka. </w:t>
      </w:r>
      <w:r w:rsidRPr="00147C11">
        <w:rPr>
          <w:rFonts w:ascii="Minion Pro" w:hAnsi="Minion Pro" w:cs="Times New Roman"/>
          <w:i/>
          <w:iCs/>
          <w:noProof/>
          <w:sz w:val="18"/>
          <w:szCs w:val="24"/>
        </w:rPr>
        <w:t>Provinsi Kalimantan Tengah Dalam Angka</w:t>
      </w:r>
      <w:r w:rsidRPr="00147C11">
        <w:rPr>
          <w:rFonts w:ascii="Minion Pro" w:hAnsi="Minion Pro" w:cs="Times New Roman"/>
          <w:noProof/>
          <w:sz w:val="18"/>
          <w:szCs w:val="24"/>
        </w:rPr>
        <w:t>.</w:t>
      </w:r>
    </w:p>
    <w:p w14:paraId="651C876F"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Brancalion, P. H. S., Broadbent, E. N., de-Miguel, S., Cardil, A., Rosa, M. R., Almeida, C. T., Almeida, D. R. A., Chakravarty, S., Zhou, M., Gamarra, J. G. P., Liang, J., Crouzeilles, R., Hérault, B., Aragão, L. E. O. C., Silva, C. A., &amp; Almeyda-Zambrano, A. M. (2020a). Emerging threats linking tropical deforestation and the COVID-19 pandemic. </w:t>
      </w:r>
      <w:r w:rsidRPr="00147C11">
        <w:rPr>
          <w:rFonts w:ascii="Minion Pro" w:hAnsi="Minion Pro" w:cs="Times New Roman"/>
          <w:i/>
          <w:iCs/>
          <w:noProof/>
          <w:sz w:val="18"/>
          <w:szCs w:val="24"/>
        </w:rPr>
        <w:t>Perspectives in Ecology and Conservation</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18</w:t>
      </w:r>
      <w:r w:rsidRPr="00147C11">
        <w:rPr>
          <w:rFonts w:ascii="Minion Pro" w:hAnsi="Minion Pro" w:cs="Times New Roman"/>
          <w:noProof/>
          <w:sz w:val="18"/>
          <w:szCs w:val="24"/>
        </w:rPr>
        <w:t>(4), 243–246. https://doi.org/10.1016/j.pecon.2020.09.006</w:t>
      </w:r>
    </w:p>
    <w:p w14:paraId="1284A2E4"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Brancalion, P. H. S., Broadbent, E. N., de-Miguel, S., Cardil, A., Rosa, M. R., Almeida, C. T., Almeida, D. R. A., Chakravarty, S., Zhou, M., Gamarra, J. G. P., Liang, J., Crouzeilles, R., Hérault, B., Aragão, L. E. O. C., Silva, C. A., &amp; Almeyda-Zambrano, A. M. (2020b). Emerging threats linking tropical deforestation and the COVID-19 pandemic. </w:t>
      </w:r>
      <w:r w:rsidRPr="00147C11">
        <w:rPr>
          <w:rFonts w:ascii="Minion Pro" w:hAnsi="Minion Pro" w:cs="Times New Roman"/>
          <w:i/>
          <w:iCs/>
          <w:noProof/>
          <w:sz w:val="18"/>
          <w:szCs w:val="24"/>
        </w:rPr>
        <w:t>Perspectives in Ecology and Conservation</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18</w:t>
      </w:r>
      <w:r w:rsidRPr="00147C11">
        <w:rPr>
          <w:rFonts w:ascii="Minion Pro" w:hAnsi="Minion Pro" w:cs="Times New Roman"/>
          <w:noProof/>
          <w:sz w:val="18"/>
          <w:szCs w:val="24"/>
        </w:rPr>
        <w:t>(4). https://doi.org/10.1016/j.pecon.2020.09.006</w:t>
      </w:r>
    </w:p>
    <w:p w14:paraId="0569B815"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Busch, J., Amarjargal, O., Taheripour, F., Austin, K. G., Siregar, R. N., Koenig, K., &amp; Hertel, T. W. (2022). Effects of demand-side restrictions on high-deforestation palm oil in Europe on deforestation and emissions in Indonesia. </w:t>
      </w:r>
      <w:r w:rsidRPr="00147C11">
        <w:rPr>
          <w:rFonts w:ascii="Minion Pro" w:hAnsi="Minion Pro" w:cs="Times New Roman"/>
          <w:i/>
          <w:iCs/>
          <w:noProof/>
          <w:sz w:val="18"/>
          <w:szCs w:val="24"/>
        </w:rPr>
        <w:t>Environmental Research Letters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17</w:t>
      </w:r>
      <w:r w:rsidRPr="00147C11">
        <w:rPr>
          <w:rFonts w:ascii="Minion Pro" w:hAnsi="Minion Pro" w:cs="Times New Roman"/>
          <w:noProof/>
          <w:sz w:val="18"/>
          <w:szCs w:val="24"/>
        </w:rPr>
        <w:t>(1). https://doi.org/10.1088/1748-9326/ac435e</w:t>
      </w:r>
    </w:p>
    <w:p w14:paraId="43C7BA65"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Carlson, D. S., Kacmar, K. M., &amp; Williams, L. J. (2000). Construction and Initial Validation of a Multidimensional Measure of Work-Family Conflict. </w:t>
      </w:r>
      <w:r w:rsidRPr="00147C11">
        <w:rPr>
          <w:rFonts w:ascii="Minion Pro" w:hAnsi="Minion Pro" w:cs="Times New Roman"/>
          <w:i/>
          <w:iCs/>
          <w:noProof/>
          <w:sz w:val="18"/>
          <w:szCs w:val="24"/>
        </w:rPr>
        <w:t>Journal of Vocational Behavior</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56</w:t>
      </w:r>
      <w:r w:rsidRPr="00147C11">
        <w:rPr>
          <w:rFonts w:ascii="Minion Pro" w:hAnsi="Minion Pro" w:cs="Times New Roman"/>
          <w:noProof/>
          <w:sz w:val="18"/>
          <w:szCs w:val="24"/>
        </w:rPr>
        <w:t>(2). https://doi.org/10.1006/jvbe.1999.1713</w:t>
      </w:r>
    </w:p>
    <w:p w14:paraId="60469A71"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Céspedes, J., Sylvester, J. M., Pérez-Marulanda, L., Paz-Garcia, P., Reymondin, L., Khodadadi, M., Tello, J. J., &amp; Castro-Nunez, A. (2022). Has global deforestation accelerated due to the COVID-19 pandemic? </w:t>
      </w:r>
      <w:r w:rsidRPr="00147C11">
        <w:rPr>
          <w:rFonts w:ascii="Minion Pro" w:hAnsi="Minion Pro" w:cs="Times New Roman"/>
          <w:i/>
          <w:iCs/>
          <w:noProof/>
          <w:sz w:val="18"/>
          <w:szCs w:val="24"/>
        </w:rPr>
        <w:t>Journal of Forestry Research</w:t>
      </w:r>
      <w:r w:rsidRPr="00147C11">
        <w:rPr>
          <w:rFonts w:ascii="Minion Pro" w:hAnsi="Minion Pro" w:cs="Times New Roman"/>
          <w:noProof/>
          <w:sz w:val="18"/>
          <w:szCs w:val="24"/>
        </w:rPr>
        <w:t>. https://doi.org/10.1007/s11676-022-01561-7</w:t>
      </w:r>
    </w:p>
    <w:p w14:paraId="0F9FD485"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Chapin, F. S., Zavaleta, E. S., Eviner, V. T., Naylor, R. L., Vitousek, P. M., Reynolds, H. L., Hooper, D. U., Lavorel, S., Sala, O. E., Hobbie, S. E., Mack, M. C., &amp; Díaz, S. (2000). Consequences of changing biodiversity. In </w:t>
      </w:r>
      <w:r w:rsidRPr="00147C11">
        <w:rPr>
          <w:rFonts w:ascii="Minion Pro" w:hAnsi="Minion Pro" w:cs="Times New Roman"/>
          <w:i/>
          <w:iCs/>
          <w:noProof/>
          <w:sz w:val="18"/>
          <w:szCs w:val="24"/>
        </w:rPr>
        <w:t>Nature</w:t>
      </w:r>
      <w:r w:rsidRPr="00147C11">
        <w:rPr>
          <w:rFonts w:ascii="Minion Pro" w:hAnsi="Minion Pro" w:cs="Times New Roman"/>
          <w:noProof/>
          <w:sz w:val="18"/>
          <w:szCs w:val="24"/>
        </w:rPr>
        <w:t xml:space="preserve"> (Vol. 405, Issue 6783). https://doi.org/10.1038/35012241</w:t>
      </w:r>
    </w:p>
    <w:p w14:paraId="01A8A246"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CI. (2020). Poaching, deforestation reportedly on the rise since COVID-19 lockdowns. In </w:t>
      </w:r>
      <w:r w:rsidRPr="00147C11">
        <w:rPr>
          <w:rFonts w:ascii="Minion Pro" w:hAnsi="Minion Pro" w:cs="Times New Roman"/>
          <w:i/>
          <w:iCs/>
          <w:noProof/>
          <w:sz w:val="18"/>
          <w:szCs w:val="24"/>
        </w:rPr>
        <w:t>Conservation International (CI)</w:t>
      </w:r>
      <w:r w:rsidRPr="00147C11">
        <w:rPr>
          <w:rFonts w:ascii="Minion Pro" w:hAnsi="Minion Pro" w:cs="Times New Roman"/>
          <w:noProof/>
          <w:sz w:val="18"/>
          <w:szCs w:val="24"/>
        </w:rPr>
        <w:t>.</w:t>
      </w:r>
    </w:p>
    <w:p w14:paraId="3D66147F"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Curran, L. M., Trigg, S. N., McDonald, A. K., Astiani, D., Hardiono, Y. M., Siregar, P., Caniago, I., &amp; Kasischke, E. (2004). Lowland Forest Loss in Protected Areas of Indonesian Borneo. </w:t>
      </w:r>
      <w:r w:rsidRPr="00147C11">
        <w:rPr>
          <w:rFonts w:ascii="Minion Pro" w:hAnsi="Minion Pro" w:cs="Times New Roman"/>
          <w:i/>
          <w:iCs/>
          <w:noProof/>
          <w:sz w:val="18"/>
          <w:szCs w:val="24"/>
        </w:rPr>
        <w:t>Science</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303</w:t>
      </w:r>
      <w:r w:rsidRPr="00147C11">
        <w:rPr>
          <w:rFonts w:ascii="Minion Pro" w:hAnsi="Minion Pro" w:cs="Times New Roman"/>
          <w:noProof/>
          <w:sz w:val="18"/>
          <w:szCs w:val="24"/>
        </w:rPr>
        <w:t>(5660). https://doi.org/10.1126/science.1091714</w:t>
      </w:r>
    </w:p>
    <w:p w14:paraId="102D2767"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DeFries, R. S., Townshend, J. R. G., &amp; Hansen, M. C. (1999). Continuous fields of vegetation characteristics at the global scale at 1-km resolution. </w:t>
      </w:r>
      <w:r w:rsidRPr="00147C11">
        <w:rPr>
          <w:rFonts w:ascii="Minion Pro" w:hAnsi="Minion Pro" w:cs="Times New Roman"/>
          <w:i/>
          <w:iCs/>
          <w:noProof/>
          <w:sz w:val="18"/>
          <w:szCs w:val="24"/>
        </w:rPr>
        <w:t>Journal of Geophysical Research Atmospheres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104</w:t>
      </w:r>
      <w:r w:rsidRPr="00147C11">
        <w:rPr>
          <w:rFonts w:ascii="Minion Pro" w:hAnsi="Minion Pro" w:cs="Times New Roman"/>
          <w:noProof/>
          <w:sz w:val="18"/>
          <w:szCs w:val="24"/>
        </w:rPr>
        <w:t>(D14). https://doi.org/10.1029/1999JD900057</w:t>
      </w:r>
    </w:p>
    <w:p w14:paraId="2F4D6280"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Doggart, N., Morgan-Brown, T., Lyimo, E., Mbilinyi, B., Meshack, C. K., Sallu, S. M., &amp; Spracklen, D. V. (2020). Agriculture is the main driver of deforestation in Tanzania. </w:t>
      </w:r>
      <w:r w:rsidRPr="00147C11">
        <w:rPr>
          <w:rFonts w:ascii="Minion Pro" w:hAnsi="Minion Pro" w:cs="Times New Roman"/>
          <w:i/>
          <w:iCs/>
          <w:noProof/>
          <w:sz w:val="18"/>
          <w:szCs w:val="24"/>
        </w:rPr>
        <w:t>Environmental Research Letters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15</w:t>
      </w:r>
      <w:r w:rsidRPr="00147C11">
        <w:rPr>
          <w:rFonts w:ascii="Minion Pro" w:hAnsi="Minion Pro" w:cs="Times New Roman"/>
          <w:noProof/>
          <w:sz w:val="18"/>
          <w:szCs w:val="24"/>
        </w:rPr>
        <w:t>(3). https://doi.org/10.1088/1748-9326/ab6b35</w:t>
      </w:r>
    </w:p>
    <w:p w14:paraId="46C8984C"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lastRenderedPageBreak/>
        <w:t xml:space="preserve">Ferraz, S. F. de B., Vettorazzi, C. A., &amp; Theobald, D. M. (2009). Using indicators of deforestation and land-use dynamics to support conservation strategies: A case study of central Rondônia, Brazil. </w:t>
      </w:r>
      <w:r w:rsidRPr="00147C11">
        <w:rPr>
          <w:rFonts w:ascii="Minion Pro" w:hAnsi="Minion Pro" w:cs="Times New Roman"/>
          <w:i/>
          <w:iCs/>
          <w:noProof/>
          <w:sz w:val="18"/>
          <w:szCs w:val="24"/>
        </w:rPr>
        <w:t>Forest Ecology and Management</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257</w:t>
      </w:r>
      <w:r w:rsidRPr="00147C11">
        <w:rPr>
          <w:rFonts w:ascii="Minion Pro" w:hAnsi="Minion Pro" w:cs="Times New Roman"/>
          <w:noProof/>
          <w:sz w:val="18"/>
          <w:szCs w:val="24"/>
        </w:rPr>
        <w:t>(7), 1586–1595. https://doi.org/10.1016/j.foreco.2009.01.013</w:t>
      </w:r>
    </w:p>
    <w:p w14:paraId="1887869C"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Foody, G. M. (2003). Remote sensing of tropical forest environments: Towards the monitoring of environmental resources for sustainable development. </w:t>
      </w:r>
      <w:r w:rsidRPr="00147C11">
        <w:rPr>
          <w:rFonts w:ascii="Minion Pro" w:hAnsi="Minion Pro" w:cs="Times New Roman"/>
          <w:i/>
          <w:iCs/>
          <w:noProof/>
          <w:sz w:val="18"/>
          <w:szCs w:val="24"/>
        </w:rPr>
        <w:t>International Journal of Remote Sensing</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24</w:t>
      </w:r>
      <w:r w:rsidRPr="00147C11">
        <w:rPr>
          <w:rFonts w:ascii="Minion Pro" w:hAnsi="Minion Pro" w:cs="Times New Roman"/>
          <w:noProof/>
          <w:sz w:val="18"/>
          <w:szCs w:val="24"/>
        </w:rPr>
        <w:t>(20), 4035–4046. https://doi.org/10.1080/0143116031000103853</w:t>
      </w:r>
    </w:p>
    <w:p w14:paraId="2243D0D6"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Foody, Giles M, Cutler, M. E., Mcmorrow, J., Pelz, D., Tangki, H., Boyd, D. S., &amp; Douglas, I. A. N. (2001). </w:t>
      </w:r>
      <w:r w:rsidRPr="00147C11">
        <w:rPr>
          <w:rFonts w:ascii="Minion Pro" w:hAnsi="Minion Pro" w:cs="Times New Roman"/>
          <w:i/>
          <w:iCs/>
          <w:noProof/>
          <w:sz w:val="18"/>
          <w:szCs w:val="24"/>
        </w:rPr>
        <w:t>Mapping the biomass of Bornean tropical rain forest from remotely sensed data ESTIMATION AND MAPPING</w:t>
      </w:r>
      <w:r w:rsidRPr="00147C11">
        <w:rPr>
          <w:rFonts w:ascii="Minion Pro" w:hAnsi="Minion Pro" w:cs="Times New Roman"/>
          <w:noProof/>
          <w:sz w:val="18"/>
          <w:szCs w:val="24"/>
        </w:rPr>
        <w:t>. 379–387.</w:t>
      </w:r>
    </w:p>
    <w:p w14:paraId="1EAF6422"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Gaveau, D. L. A., Epting, J., Lyne, O., Linkie, M., Kumara, I., Kanninen, M., &amp; Leader-Williams, N. (2009). Evaluating whether protected areas reduce tropical deforestation in Sumatra. </w:t>
      </w:r>
      <w:r w:rsidRPr="00147C11">
        <w:rPr>
          <w:rFonts w:ascii="Minion Pro" w:hAnsi="Minion Pro" w:cs="Times New Roman"/>
          <w:i/>
          <w:iCs/>
          <w:noProof/>
          <w:sz w:val="18"/>
          <w:szCs w:val="24"/>
        </w:rPr>
        <w:t>Journal of Biogeography</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36</w:t>
      </w:r>
      <w:r w:rsidRPr="00147C11">
        <w:rPr>
          <w:rFonts w:ascii="Minion Pro" w:hAnsi="Minion Pro" w:cs="Times New Roman"/>
          <w:noProof/>
          <w:sz w:val="18"/>
          <w:szCs w:val="24"/>
        </w:rPr>
        <w:t>(11). https://doi.org/10.1111/j.1365-2699.2009.02147.x</w:t>
      </w:r>
    </w:p>
    <w:p w14:paraId="49A11D48"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Hendrik, S., Tani, H., &amp; Hirano, T. (2010). Detection of fire impact and vegetation recovery over tropical peat swamp forest by satellite data and ground-based NDVI instrument. </w:t>
      </w:r>
      <w:r w:rsidRPr="00147C11">
        <w:rPr>
          <w:rFonts w:ascii="Minion Pro" w:hAnsi="Minion Pro" w:cs="Times New Roman"/>
          <w:i/>
          <w:iCs/>
          <w:noProof/>
          <w:sz w:val="18"/>
          <w:szCs w:val="24"/>
        </w:rPr>
        <w:t>International Journal of Remote Sensing</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31</w:t>
      </w:r>
      <w:r w:rsidRPr="00147C11">
        <w:rPr>
          <w:rFonts w:ascii="Minion Pro" w:hAnsi="Minion Pro" w:cs="Times New Roman"/>
          <w:noProof/>
          <w:sz w:val="18"/>
          <w:szCs w:val="24"/>
        </w:rPr>
        <w:t>(20), 5297–5314. https://doi.org/10.1080/01431160903302981</w:t>
      </w:r>
    </w:p>
    <w:p w14:paraId="44ED1E16"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Hirano, T., Segah, H., Kusin, K., Limin, S., Takahashi, H., &amp; Osaki, M. (2012). Effects of disturbances on the carbon balance of tropical peat swamp forests. </w:t>
      </w:r>
      <w:r w:rsidRPr="00147C11">
        <w:rPr>
          <w:rFonts w:ascii="Minion Pro" w:hAnsi="Minion Pro" w:cs="Times New Roman"/>
          <w:i/>
          <w:iCs/>
          <w:noProof/>
          <w:sz w:val="18"/>
          <w:szCs w:val="24"/>
        </w:rPr>
        <w:t>Global Change Biology</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18</w:t>
      </w:r>
      <w:r w:rsidRPr="00147C11">
        <w:rPr>
          <w:rFonts w:ascii="Minion Pro" w:hAnsi="Minion Pro" w:cs="Times New Roman"/>
          <w:noProof/>
          <w:sz w:val="18"/>
          <w:szCs w:val="24"/>
        </w:rPr>
        <w:t>(11), 3410–3422. https://doi.org/10.1111/j.1365-2486.2012.02793.x</w:t>
      </w:r>
    </w:p>
    <w:p w14:paraId="57A7FE0B"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Iwata, K., Ito, Y., &amp; Managi, S. (2014). Public and private mitigation for natural disasters in Japan. </w:t>
      </w:r>
      <w:r w:rsidRPr="00147C11">
        <w:rPr>
          <w:rFonts w:ascii="Minion Pro" w:hAnsi="Minion Pro" w:cs="Times New Roman"/>
          <w:i/>
          <w:iCs/>
          <w:noProof/>
          <w:sz w:val="18"/>
          <w:szCs w:val="24"/>
        </w:rPr>
        <w:t>International Journal of Disaster Risk Reduction</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7</w:t>
      </w:r>
      <w:r w:rsidRPr="00147C11">
        <w:rPr>
          <w:rFonts w:ascii="Minion Pro" w:hAnsi="Minion Pro" w:cs="Times New Roman"/>
          <w:noProof/>
          <w:sz w:val="18"/>
          <w:szCs w:val="24"/>
        </w:rPr>
        <w:t>. https://doi.org/10.1016/j.ijdrr.2013.12.005</w:t>
      </w:r>
    </w:p>
    <w:p w14:paraId="62C9D3D8"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Jaenicke, J., Wösten, H., Budiman, A., &amp; Siegert, F. (2010). Planning hydrological restoration of peatlands in Indonesia to mitigate carbon dioxide emissions. In </w:t>
      </w:r>
      <w:r w:rsidRPr="00147C11">
        <w:rPr>
          <w:rFonts w:ascii="Minion Pro" w:hAnsi="Minion Pro" w:cs="Times New Roman"/>
          <w:i/>
          <w:iCs/>
          <w:noProof/>
          <w:sz w:val="18"/>
          <w:szCs w:val="24"/>
        </w:rPr>
        <w:t>Mitigation and Adaptation Strategies for Global Change</w:t>
      </w:r>
      <w:r w:rsidRPr="00147C11">
        <w:rPr>
          <w:rFonts w:ascii="Minion Pro" w:hAnsi="Minion Pro" w:cs="Times New Roman"/>
          <w:noProof/>
          <w:sz w:val="18"/>
          <w:szCs w:val="24"/>
        </w:rPr>
        <w:t xml:space="preserve"> (Vol. 15, Issue 3, pp. 223–239). https://doi.org/10.1007/s11027-010-9214-5</w:t>
      </w:r>
    </w:p>
    <w:p w14:paraId="73D0FC3A"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Kodir, A., Hadi, N., Astina, I. K., Taryana, D., Ratnawati, N., &amp; Idris. (2021). The dynamics of community response to the development of the New Capital (IKN) of Indonesia. </w:t>
      </w:r>
      <w:r w:rsidRPr="00147C11">
        <w:rPr>
          <w:rFonts w:ascii="Minion Pro" w:hAnsi="Minion Pro" w:cs="Times New Roman"/>
          <w:i/>
          <w:iCs/>
          <w:noProof/>
          <w:sz w:val="18"/>
          <w:szCs w:val="24"/>
        </w:rPr>
        <w:t>Development, Social Change and Environmental Sustainability</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Nugroho 2020</w:t>
      </w:r>
      <w:r w:rsidRPr="00147C11">
        <w:rPr>
          <w:rFonts w:ascii="Minion Pro" w:hAnsi="Minion Pro" w:cs="Times New Roman"/>
          <w:noProof/>
          <w:sz w:val="18"/>
          <w:szCs w:val="24"/>
        </w:rPr>
        <w:t>, 57–61. https://doi.org/10.1201/9781003178163-13</w:t>
      </w:r>
    </w:p>
    <w:p w14:paraId="33693974"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Koh, J. H. L., Chai, C. S., Benjamin, W., &amp; Hong, H. Y. (2015). Technological Pedagogical Content Knowledge (TPACK) and Design Thinking: A Framework to Support ICT Lesson Design for 21st Century Learning. </w:t>
      </w:r>
      <w:r w:rsidRPr="00147C11">
        <w:rPr>
          <w:rFonts w:ascii="Minion Pro" w:hAnsi="Minion Pro" w:cs="Times New Roman"/>
          <w:i/>
          <w:iCs/>
          <w:noProof/>
          <w:sz w:val="18"/>
          <w:szCs w:val="24"/>
        </w:rPr>
        <w:t>Asia-Pacific Education Researcher</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24</w:t>
      </w:r>
      <w:r w:rsidRPr="00147C11">
        <w:rPr>
          <w:rFonts w:ascii="Minion Pro" w:hAnsi="Minion Pro" w:cs="Times New Roman"/>
          <w:noProof/>
          <w:sz w:val="18"/>
          <w:szCs w:val="24"/>
        </w:rPr>
        <w:t>(3). https://doi.org/10.1007/s40299-015-0237-2</w:t>
      </w:r>
    </w:p>
    <w:p w14:paraId="66CDDEB2"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Kusin, K., Sulistiyanto, Y., Usup, A., &amp; Ardianor. (2022). Carbon Monoxide (CO) and Particulate Matter (PM2.5) Concentration at Central Kalimantan, Indonesia. </w:t>
      </w:r>
      <w:r w:rsidRPr="00147C11">
        <w:rPr>
          <w:rFonts w:ascii="Minion Pro" w:hAnsi="Minion Pro" w:cs="Times New Roman"/>
          <w:i/>
          <w:iCs/>
          <w:noProof/>
          <w:sz w:val="18"/>
          <w:szCs w:val="24"/>
        </w:rPr>
        <w:t>IOP Conference Series: Earth and Environmental Science</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1111</w:t>
      </w:r>
      <w:r w:rsidRPr="00147C11">
        <w:rPr>
          <w:rFonts w:ascii="Minion Pro" w:hAnsi="Minion Pro" w:cs="Times New Roman"/>
          <w:noProof/>
          <w:sz w:val="18"/>
          <w:szCs w:val="24"/>
        </w:rPr>
        <w:t>(1). https://doi.org/10.1088/1755-1315/1111/1/012006</w:t>
      </w:r>
    </w:p>
    <w:p w14:paraId="02E53E6A"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Laksminarti, L. (2019). Rekonstruksi Hukum Pengaturan Rencana Tata Ruang Wilayah Provinsi Kalimantan Tengah Berbasis Keberlanjutan Lingkungan. </w:t>
      </w:r>
      <w:r w:rsidRPr="00147C11">
        <w:rPr>
          <w:rFonts w:ascii="Minion Pro" w:hAnsi="Minion Pro" w:cs="Times New Roman"/>
          <w:i/>
          <w:iCs/>
          <w:noProof/>
          <w:sz w:val="18"/>
          <w:szCs w:val="24"/>
        </w:rPr>
        <w:t>Restorica: Jurnal Ilmiah Ilmu Administrasi Negara Dan Ilmu Komunikasi</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w:t>
      </w:r>
      <w:r w:rsidRPr="00147C11">
        <w:rPr>
          <w:rFonts w:ascii="Minion Pro" w:hAnsi="Minion Pro" w:cs="Times New Roman"/>
          <w:noProof/>
          <w:sz w:val="18"/>
          <w:szCs w:val="24"/>
        </w:rPr>
        <w:t>(2). https://doi.org/10.33084/restorica.v5i2.1074</w:t>
      </w:r>
    </w:p>
    <w:p w14:paraId="2F9823A1"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Lambin, E. F. (1999). Monitoring forest degradation in tropical regions by remote sensing: Some methodological issues. </w:t>
      </w:r>
      <w:r w:rsidRPr="00147C11">
        <w:rPr>
          <w:rFonts w:ascii="Minion Pro" w:hAnsi="Minion Pro" w:cs="Times New Roman"/>
          <w:i/>
          <w:iCs/>
          <w:noProof/>
          <w:sz w:val="18"/>
          <w:szCs w:val="24"/>
        </w:rPr>
        <w:t>Global Ecology and Biogeography</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8</w:t>
      </w:r>
      <w:r w:rsidRPr="00147C11">
        <w:rPr>
          <w:rFonts w:ascii="Minion Pro" w:hAnsi="Minion Pro" w:cs="Times New Roman"/>
          <w:noProof/>
          <w:sz w:val="18"/>
          <w:szCs w:val="24"/>
        </w:rPr>
        <w:t>(3–4), 191–198. https://doi.org/10.1046/j.1365-2699.1999.00123.x</w:t>
      </w:r>
    </w:p>
    <w:p w14:paraId="7A9B9707"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Laudares, H. (2020). Is deforestation spreading COVID-19 to the indigenous peoples? </w:t>
      </w:r>
      <w:r w:rsidRPr="00147C11">
        <w:rPr>
          <w:rFonts w:ascii="Minion Pro" w:hAnsi="Minion Pro" w:cs="Times New Roman"/>
          <w:i/>
          <w:iCs/>
          <w:noProof/>
          <w:sz w:val="18"/>
          <w:szCs w:val="24"/>
        </w:rPr>
        <w:t>Covid Economics: Vetted and Real-Time Papers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53</w:t>
      </w:r>
      <w:r w:rsidRPr="00147C11">
        <w:rPr>
          <w:rFonts w:ascii="Minion Pro" w:hAnsi="Minion Pro" w:cs="Times New Roman"/>
          <w:noProof/>
          <w:sz w:val="18"/>
          <w:szCs w:val="24"/>
        </w:rPr>
        <w:t>.</w:t>
      </w:r>
    </w:p>
    <w:p w14:paraId="3DFDD996"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lastRenderedPageBreak/>
        <w:t xml:space="preserve">Lawrence, D., Coe, M., Walker, W., Verchot, L., &amp; Vandecar, K. (2022). The Unseen Effects of Deforestation: Biophysical Effects on Climate. </w:t>
      </w:r>
      <w:r w:rsidRPr="00147C11">
        <w:rPr>
          <w:rFonts w:ascii="Minion Pro" w:hAnsi="Minion Pro" w:cs="Times New Roman"/>
          <w:i/>
          <w:iCs/>
          <w:noProof/>
          <w:sz w:val="18"/>
          <w:szCs w:val="24"/>
        </w:rPr>
        <w:t>Frontiers in Forests and Global Change</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w:t>
      </w:r>
      <w:r w:rsidRPr="00147C11">
        <w:rPr>
          <w:rFonts w:ascii="Minion Pro" w:hAnsi="Minion Pro" w:cs="Times New Roman"/>
          <w:noProof/>
          <w:sz w:val="18"/>
          <w:szCs w:val="24"/>
        </w:rPr>
        <w:t>(March), 1–13. https://doi.org/10.3389/ffgc.2022.756115</w:t>
      </w:r>
    </w:p>
    <w:p w14:paraId="4E9114A7"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Liu, D., Guo, X., &amp; Xiao, B. (2019). What causes growth of global greenhouse gas emissions? Evidence from 40 countries. </w:t>
      </w:r>
      <w:r w:rsidRPr="00147C11">
        <w:rPr>
          <w:rFonts w:ascii="Minion Pro" w:hAnsi="Minion Pro" w:cs="Times New Roman"/>
          <w:i/>
          <w:iCs/>
          <w:noProof/>
          <w:sz w:val="18"/>
          <w:szCs w:val="24"/>
        </w:rPr>
        <w:t>Science of the Total Environment</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661</w:t>
      </w:r>
      <w:r w:rsidRPr="00147C11">
        <w:rPr>
          <w:rFonts w:ascii="Minion Pro" w:hAnsi="Minion Pro" w:cs="Times New Roman"/>
          <w:noProof/>
          <w:sz w:val="18"/>
          <w:szCs w:val="24"/>
        </w:rPr>
        <w:t>. https://doi.org/10.1016/j.scitotenv.2019.01.197</w:t>
      </w:r>
    </w:p>
    <w:p w14:paraId="2ED2173F"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M, L., Almukthar, N., Edbey, K., C, F., Rafa, A. Y., Mashori, G. R., &amp; Yurevich, L. O. (2021). Deforestation, Air Pollution And Brasiliant Covid-19 Variant. </w:t>
      </w:r>
      <w:r w:rsidRPr="00147C11">
        <w:rPr>
          <w:rFonts w:ascii="Minion Pro" w:hAnsi="Minion Pro" w:cs="Times New Roman"/>
          <w:i/>
          <w:iCs/>
          <w:noProof/>
          <w:sz w:val="18"/>
          <w:szCs w:val="24"/>
        </w:rPr>
        <w:t>INTERNATIONAL JOURNAL OF MEDICINE AND HEALTHCARE REPORTS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01</w:t>
      </w:r>
      <w:r w:rsidRPr="00147C11">
        <w:rPr>
          <w:rFonts w:ascii="Minion Pro" w:hAnsi="Minion Pro" w:cs="Times New Roman"/>
          <w:noProof/>
          <w:sz w:val="18"/>
          <w:szCs w:val="24"/>
        </w:rPr>
        <w:t>(01). https://doi.org/10.51521/ijmhr.2021.1103</w:t>
      </w:r>
    </w:p>
    <w:p w14:paraId="4CD297CA"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Margono, B. A., Potapov, P. V., Turubanova, S., Stolle, F., &amp; Hansen, M. C. (2014). Primary forest cover loss in indonesia over 2000-2012. In </w:t>
      </w:r>
      <w:r w:rsidRPr="00147C11">
        <w:rPr>
          <w:rFonts w:ascii="Minion Pro" w:hAnsi="Minion Pro" w:cs="Times New Roman"/>
          <w:i/>
          <w:iCs/>
          <w:noProof/>
          <w:sz w:val="18"/>
          <w:szCs w:val="24"/>
        </w:rPr>
        <w:t>Nature Climate Change</w:t>
      </w:r>
      <w:r w:rsidRPr="00147C11">
        <w:rPr>
          <w:rFonts w:ascii="Minion Pro" w:hAnsi="Minion Pro" w:cs="Times New Roman"/>
          <w:noProof/>
          <w:sz w:val="18"/>
          <w:szCs w:val="24"/>
        </w:rPr>
        <w:t xml:space="preserve"> (Vol. 4, Issue 8). https://doi.org/10.1038/nclimate2277</w:t>
      </w:r>
    </w:p>
    <w:p w14:paraId="4615FA4C"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Miettinen, J., Shi, C., &amp; Liew, S. C. (2011). Deforestation rates in insular Southeast Asia between 2000 and 2010. </w:t>
      </w:r>
      <w:r w:rsidRPr="00147C11">
        <w:rPr>
          <w:rFonts w:ascii="Minion Pro" w:hAnsi="Minion Pro" w:cs="Times New Roman"/>
          <w:i/>
          <w:iCs/>
          <w:noProof/>
          <w:sz w:val="18"/>
          <w:szCs w:val="24"/>
        </w:rPr>
        <w:t>Global Change Biology</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17</w:t>
      </w:r>
      <w:r w:rsidRPr="00147C11">
        <w:rPr>
          <w:rFonts w:ascii="Minion Pro" w:hAnsi="Minion Pro" w:cs="Times New Roman"/>
          <w:noProof/>
          <w:sz w:val="18"/>
          <w:szCs w:val="24"/>
        </w:rPr>
        <w:t>(7). https://doi.org/10.1111/j.1365-2486.2011.02398.x</w:t>
      </w:r>
    </w:p>
    <w:p w14:paraId="54300E40"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Mitchard, E. T. A. (2018). The tropical forest carbon cycle and climate change. </w:t>
      </w:r>
      <w:r w:rsidRPr="00147C11">
        <w:rPr>
          <w:rFonts w:ascii="Minion Pro" w:hAnsi="Minion Pro" w:cs="Times New Roman"/>
          <w:i/>
          <w:iCs/>
          <w:noProof/>
          <w:sz w:val="18"/>
          <w:szCs w:val="24"/>
        </w:rPr>
        <w:t>Nature</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559</w:t>
      </w:r>
      <w:r w:rsidRPr="00147C11">
        <w:rPr>
          <w:rFonts w:ascii="Minion Pro" w:hAnsi="Minion Pro" w:cs="Times New Roman"/>
          <w:noProof/>
          <w:sz w:val="18"/>
          <w:szCs w:val="24"/>
        </w:rPr>
        <w:t>(7715), 527–534. https://doi.org/10.1038/s41586-018-0300-2</w:t>
      </w:r>
    </w:p>
    <w:p w14:paraId="529F8285"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Moutinho, P. (2005). (1) (PDF) Tropical Deforestation and Climate Change. In </w:t>
      </w:r>
      <w:r w:rsidRPr="00147C11">
        <w:rPr>
          <w:rFonts w:ascii="Minion Pro" w:hAnsi="Minion Pro" w:cs="Times New Roman"/>
          <w:i/>
          <w:iCs/>
          <w:noProof/>
          <w:sz w:val="18"/>
          <w:szCs w:val="24"/>
        </w:rPr>
        <w:t>Instituto de Pesquisa Ambiental da Amazônia and Environmental Defense</w:t>
      </w:r>
      <w:r w:rsidRPr="00147C11">
        <w:rPr>
          <w:rFonts w:ascii="Minion Pro" w:hAnsi="Minion Pro" w:cs="Times New Roman"/>
          <w:noProof/>
          <w:sz w:val="18"/>
          <w:szCs w:val="24"/>
        </w:rPr>
        <w:t>.</w:t>
      </w:r>
    </w:p>
    <w:p w14:paraId="4C5EF6EA"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Murdiyarso, D., Dewi, S., Lawrence, D., &amp; Seymour, F. (2011). Indonesia’s Forest Moratorium: A Stepping Stone to Better Forest Governance? In </w:t>
      </w:r>
      <w:r w:rsidRPr="00147C11">
        <w:rPr>
          <w:rFonts w:ascii="Minion Pro" w:hAnsi="Minion Pro" w:cs="Times New Roman"/>
          <w:i/>
          <w:iCs/>
          <w:noProof/>
          <w:sz w:val="18"/>
          <w:szCs w:val="24"/>
        </w:rPr>
        <w:t>Working Paper</w:t>
      </w:r>
      <w:r w:rsidRPr="00147C11">
        <w:rPr>
          <w:rFonts w:ascii="Minion Pro" w:hAnsi="Minion Pro" w:cs="Times New Roman"/>
          <w:noProof/>
          <w:sz w:val="18"/>
          <w:szCs w:val="24"/>
        </w:rPr>
        <w:t>.</w:t>
      </w:r>
    </w:p>
    <w:p w14:paraId="72335D99"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Pachmann, A. (2021). Corruption and Deforestation in Indonesia. </w:t>
      </w:r>
      <w:r w:rsidRPr="00147C11">
        <w:rPr>
          <w:rFonts w:ascii="Minion Pro" w:hAnsi="Minion Pro" w:cs="Times New Roman"/>
          <w:i/>
          <w:iCs/>
          <w:noProof/>
          <w:sz w:val="18"/>
          <w:szCs w:val="24"/>
        </w:rPr>
        <w:t>Regional Formation and Development Studies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2</w:t>
      </w:r>
      <w:r w:rsidRPr="00147C11">
        <w:rPr>
          <w:rFonts w:ascii="Minion Pro" w:hAnsi="Minion Pro" w:cs="Times New Roman"/>
          <w:noProof/>
          <w:sz w:val="18"/>
          <w:szCs w:val="24"/>
        </w:rPr>
        <w:t>(2), 55–62. https://doi.org/10.15181/rfds.v25i2.1745</w:t>
      </w:r>
    </w:p>
    <w:p w14:paraId="379ABAAE"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Page, S. E., Wust, R. A. J., Weiss, D., Rieley, J. O., Shotyk, W., &amp; Limin, S. H. (2004). A record of Late Pleistocene and Holocene carbon accumulation and climate change from an equatorial peat bog (Kalimantan, Indonesia): Implications for past, present and future carbon dynamics. </w:t>
      </w:r>
      <w:r w:rsidRPr="00147C11">
        <w:rPr>
          <w:rFonts w:ascii="Minion Pro" w:hAnsi="Minion Pro" w:cs="Times New Roman"/>
          <w:i/>
          <w:iCs/>
          <w:noProof/>
          <w:sz w:val="18"/>
          <w:szCs w:val="24"/>
        </w:rPr>
        <w:t>Journal of Quaternary Science</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19</w:t>
      </w:r>
      <w:r w:rsidRPr="00147C11">
        <w:rPr>
          <w:rFonts w:ascii="Minion Pro" w:hAnsi="Minion Pro" w:cs="Times New Roman"/>
          <w:noProof/>
          <w:sz w:val="18"/>
          <w:szCs w:val="24"/>
        </w:rPr>
        <w:t>(7), 625–635. https://doi.org/10.1002/jqs.884</w:t>
      </w:r>
    </w:p>
    <w:p w14:paraId="45F8880B"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Poor, E. E., Jati, V. I. M., Imron, M. A., &amp; Kelly, M. J. (2019). The road to deforestation: Edge effects in an endemic ecosystem in Sumatra, Indonesia. </w:t>
      </w:r>
      <w:r w:rsidRPr="00147C11">
        <w:rPr>
          <w:rFonts w:ascii="Minion Pro" w:hAnsi="Minion Pro" w:cs="Times New Roman"/>
          <w:i/>
          <w:iCs/>
          <w:noProof/>
          <w:sz w:val="18"/>
          <w:szCs w:val="24"/>
        </w:rPr>
        <w:t>PLoS ONE</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14</w:t>
      </w:r>
      <w:r w:rsidRPr="00147C11">
        <w:rPr>
          <w:rFonts w:ascii="Minion Pro" w:hAnsi="Minion Pro" w:cs="Times New Roman"/>
          <w:noProof/>
          <w:sz w:val="18"/>
          <w:szCs w:val="24"/>
        </w:rPr>
        <w:t>(7). https://doi.org/10.1371/journal.pone.0217540</w:t>
      </w:r>
    </w:p>
    <w:p w14:paraId="6A87D7E0"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Prabowo, D., Maryudi, A., Senawi, &amp; Imron, M. A. (2017). Conversion of forests into oil palm plantations in West Kalimantan, Indonesia: Insights from actors’ power and its dynamics. </w:t>
      </w:r>
      <w:r w:rsidRPr="00147C11">
        <w:rPr>
          <w:rFonts w:ascii="Minion Pro" w:hAnsi="Minion Pro" w:cs="Times New Roman"/>
          <w:i/>
          <w:iCs/>
          <w:noProof/>
          <w:sz w:val="18"/>
          <w:szCs w:val="24"/>
        </w:rPr>
        <w:t>Forest Policy and Economics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78</w:t>
      </w:r>
      <w:r w:rsidRPr="00147C11">
        <w:rPr>
          <w:rFonts w:ascii="Minion Pro" w:hAnsi="Minion Pro" w:cs="Times New Roman"/>
          <w:noProof/>
          <w:sz w:val="18"/>
          <w:szCs w:val="24"/>
        </w:rPr>
        <w:t>, 32–39. https://doi.org/10.1016/J.FORPOL.2017.01.004</w:t>
      </w:r>
    </w:p>
    <w:p w14:paraId="787189F5"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Puyravaud, J. P. (2003). Standardizing the calculation of the annual rate of deforestation. </w:t>
      </w:r>
      <w:r w:rsidRPr="00147C11">
        <w:rPr>
          <w:rFonts w:ascii="Minion Pro" w:hAnsi="Minion Pro" w:cs="Times New Roman"/>
          <w:i/>
          <w:iCs/>
          <w:noProof/>
          <w:sz w:val="18"/>
          <w:szCs w:val="24"/>
        </w:rPr>
        <w:t>Forest Ecology and Management</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177</w:t>
      </w:r>
      <w:r w:rsidRPr="00147C11">
        <w:rPr>
          <w:rFonts w:ascii="Minion Pro" w:hAnsi="Minion Pro" w:cs="Times New Roman"/>
          <w:noProof/>
          <w:sz w:val="18"/>
          <w:szCs w:val="24"/>
        </w:rPr>
        <w:t>(1–3), 593–596. https://doi.org/10.1016/S0378-1127(02)00335-3</w:t>
      </w:r>
    </w:p>
    <w:p w14:paraId="36C67730"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Rahmat, H. K., Widana, I. D. K. K., Basri, A. S. H., &amp; Musyrifin, Z. (2021). Analysis of potential disaster in the new capital of indonesia and its mitigation efforts: A qualitative approach. </w:t>
      </w:r>
      <w:r w:rsidRPr="00147C11">
        <w:rPr>
          <w:rFonts w:ascii="Minion Pro" w:hAnsi="Minion Pro" w:cs="Times New Roman"/>
          <w:i/>
          <w:iCs/>
          <w:noProof/>
          <w:sz w:val="18"/>
          <w:szCs w:val="24"/>
        </w:rPr>
        <w:t>Disaster Advances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14</w:t>
      </w:r>
      <w:r w:rsidRPr="00147C11">
        <w:rPr>
          <w:rFonts w:ascii="Minion Pro" w:hAnsi="Minion Pro" w:cs="Times New Roman"/>
          <w:noProof/>
          <w:sz w:val="18"/>
          <w:szCs w:val="24"/>
        </w:rPr>
        <w:t>(3), 40–43.</w:t>
      </w:r>
    </w:p>
    <w:p w14:paraId="76D73796"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Reddy, C. S., Bird, N. G., Sreelakshmi, S., Manikandan, T. M., Asra, M., Krishna, P. H., Jha, C. S., Rao, P. V. N., &amp; Diwakar, P. G. (2019). Identification and characterization of spatio-temporal hotspots of forest fires in South Asia. </w:t>
      </w:r>
      <w:r w:rsidRPr="00147C11">
        <w:rPr>
          <w:rFonts w:ascii="Minion Pro" w:hAnsi="Minion Pro" w:cs="Times New Roman"/>
          <w:i/>
          <w:iCs/>
          <w:noProof/>
          <w:sz w:val="18"/>
          <w:szCs w:val="24"/>
        </w:rPr>
        <w:t>Environmental Monitoring and Assessment</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191</w:t>
      </w:r>
      <w:r w:rsidRPr="00147C11">
        <w:rPr>
          <w:rFonts w:ascii="Minion Pro" w:hAnsi="Minion Pro" w:cs="Times New Roman"/>
          <w:noProof/>
          <w:sz w:val="18"/>
          <w:szCs w:val="24"/>
        </w:rPr>
        <w:t>. https://doi.org/10.1007/s10661-019-7695-6</w:t>
      </w:r>
    </w:p>
    <w:p w14:paraId="397C7CD0"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Ridder, R. M. (2007). </w:t>
      </w:r>
      <w:r w:rsidRPr="00147C11">
        <w:rPr>
          <w:rFonts w:ascii="Minion Pro" w:hAnsi="Minion Pro" w:cs="Times New Roman"/>
          <w:i/>
          <w:iCs/>
          <w:noProof/>
          <w:sz w:val="18"/>
          <w:szCs w:val="24"/>
        </w:rPr>
        <w:t>Forestry Department Food and Agriculture Organization of the United Nations GLOBAL FOREST RESOURCES ASSESSMENT 2010 OPTIONS AND RECOMMENDATIONS FOR A GLOBAL REMOTE SENSING SURVEY OF FORESTS</w:t>
      </w:r>
      <w:r w:rsidRPr="00147C11">
        <w:rPr>
          <w:rFonts w:ascii="Minion Pro" w:hAnsi="Minion Pro" w:cs="Times New Roman"/>
          <w:noProof/>
          <w:sz w:val="18"/>
          <w:szCs w:val="24"/>
        </w:rPr>
        <w:t>. www.fao.org/forestry</w:t>
      </w:r>
    </w:p>
    <w:p w14:paraId="77CD1332"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lastRenderedPageBreak/>
        <w:t xml:space="preserve">SI. (2015). Central Kalimantan In Figures 2015. </w:t>
      </w:r>
      <w:r w:rsidRPr="00147C11">
        <w:rPr>
          <w:rFonts w:ascii="Minion Pro" w:hAnsi="Minion Pro" w:cs="Times New Roman"/>
          <w:i/>
          <w:iCs/>
          <w:noProof/>
          <w:sz w:val="18"/>
          <w:szCs w:val="24"/>
        </w:rPr>
        <w:t>Statistics Indonesia</w:t>
      </w:r>
      <w:r w:rsidRPr="00147C11">
        <w:rPr>
          <w:rFonts w:ascii="Minion Pro" w:hAnsi="Minion Pro" w:cs="Times New Roman"/>
          <w:noProof/>
          <w:sz w:val="18"/>
          <w:szCs w:val="24"/>
        </w:rPr>
        <w:t>.</w:t>
      </w:r>
    </w:p>
    <w:p w14:paraId="11666AFD"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Silva Junior, C. H. L., Pessôa, A. C. M., Carvalho, N. S., Reis, J. B. C., Anderson, L. O., &amp; Aragão, L. E. O. C. (2021). The Brazilian Amazon deforestation rate in 2020 is the greatest of the decade. </w:t>
      </w:r>
      <w:r w:rsidRPr="00147C11">
        <w:rPr>
          <w:rFonts w:ascii="Minion Pro" w:hAnsi="Minion Pro" w:cs="Times New Roman"/>
          <w:i/>
          <w:iCs/>
          <w:noProof/>
          <w:sz w:val="18"/>
          <w:szCs w:val="24"/>
        </w:rPr>
        <w:t>Nature Ecology and Evolution</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w:t>
      </w:r>
      <w:r w:rsidRPr="00147C11">
        <w:rPr>
          <w:rFonts w:ascii="Minion Pro" w:hAnsi="Minion Pro" w:cs="Times New Roman"/>
          <w:noProof/>
          <w:sz w:val="18"/>
          <w:szCs w:val="24"/>
        </w:rPr>
        <w:t>(2), 144–145. https://doi.org/10.1038/s41559-020-01368-x</w:t>
      </w:r>
    </w:p>
    <w:p w14:paraId="21232F46"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i/>
          <w:iCs/>
          <w:noProof/>
          <w:sz w:val="18"/>
          <w:szCs w:val="24"/>
        </w:rPr>
        <w:t>Submission by Indonesia NATIONAL FOREST REFERENCE LEVEL FOR DEFORESTATION , FOREST Editor in Chief</w:t>
      </w:r>
      <w:r w:rsidRPr="00147C11">
        <w:rPr>
          <w:rFonts w:ascii="Minion Pro" w:hAnsi="Minion Pro" w:cs="Times New Roman"/>
          <w:noProof/>
          <w:sz w:val="18"/>
          <w:szCs w:val="24"/>
        </w:rPr>
        <w:t>. (2022).</w:t>
      </w:r>
    </w:p>
    <w:p w14:paraId="5DD94F38"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Suk, J. E., Vaughan, E. C., Cook, R. G., &amp; Semenza, J. C. (2020). Natural disasters and infectious disease in Europe: A literature review to identify cascading risk pathways. In </w:t>
      </w:r>
      <w:r w:rsidRPr="00147C11">
        <w:rPr>
          <w:rFonts w:ascii="Minion Pro" w:hAnsi="Minion Pro" w:cs="Times New Roman"/>
          <w:i/>
          <w:iCs/>
          <w:noProof/>
          <w:sz w:val="18"/>
          <w:szCs w:val="24"/>
        </w:rPr>
        <w:t>European Journal of Public Health</w:t>
      </w:r>
      <w:r w:rsidRPr="00147C11">
        <w:rPr>
          <w:rFonts w:ascii="Minion Pro" w:hAnsi="Minion Pro" w:cs="Times New Roman"/>
          <w:noProof/>
          <w:sz w:val="18"/>
          <w:szCs w:val="24"/>
        </w:rPr>
        <w:t xml:space="preserve"> (Vol. 30, Issue 5). https://doi.org/10.1093/eurpub/ckz111</w:t>
      </w:r>
    </w:p>
    <w:p w14:paraId="74C0F96C"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Supriatna, T., Lukman, S., &amp; Daraba, D. (n.d.). </w:t>
      </w:r>
      <w:r w:rsidRPr="00147C11">
        <w:rPr>
          <w:rFonts w:ascii="Minion Pro" w:hAnsi="Minion Pro" w:cs="Times New Roman"/>
          <w:i/>
          <w:iCs/>
          <w:noProof/>
          <w:sz w:val="18"/>
          <w:szCs w:val="24"/>
        </w:rPr>
        <w:t>Planning Strategy Spatial Plan for the Province of Central Kalimantan</w:t>
      </w:r>
      <w:r w:rsidRPr="00147C11">
        <w:rPr>
          <w:rFonts w:ascii="Minion Pro" w:hAnsi="Minion Pro" w:cs="Times New Roman"/>
          <w:noProof/>
          <w:sz w:val="18"/>
          <w:szCs w:val="24"/>
        </w:rPr>
        <w:t>. 8705–8715.</w:t>
      </w:r>
    </w:p>
    <w:p w14:paraId="2A2D9B86"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Suroso, D. S. A., Setiawan, B., Pradono, P., Iskandar, Z. S., &amp; Hastari, M. A. (2022). Revisiting the role of international climate finance (ICF) towards achieving the nationally determined contribution (NDC) target: A case study of the Indonesian energy sector. </w:t>
      </w:r>
      <w:r w:rsidRPr="00147C11">
        <w:rPr>
          <w:rFonts w:ascii="Minion Pro" w:hAnsi="Minion Pro" w:cs="Times New Roman"/>
          <w:i/>
          <w:iCs/>
          <w:noProof/>
          <w:sz w:val="18"/>
          <w:szCs w:val="24"/>
        </w:rPr>
        <w:t>Environmental Science and Policy</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131</w:t>
      </w:r>
      <w:r w:rsidRPr="00147C11">
        <w:rPr>
          <w:rFonts w:ascii="Minion Pro" w:hAnsi="Minion Pro" w:cs="Times New Roman"/>
          <w:noProof/>
          <w:sz w:val="18"/>
          <w:szCs w:val="24"/>
        </w:rPr>
        <w:t>. https://doi.org/10.1016/j.envsci.2022.01.022</w:t>
      </w:r>
    </w:p>
    <w:p w14:paraId="32B41DC0"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Susilo, G. E., Yamamoto, K., Imai, T., Ishii, Y., Fukami, H., &amp; Sekine, M. (2013). The effect of ENSO on rainfall characteristics in the tropical peatland areas of Central Kalimantan, Indonesia. </w:t>
      </w:r>
      <w:r w:rsidRPr="00147C11">
        <w:rPr>
          <w:rFonts w:ascii="Minion Pro" w:hAnsi="Minion Pro" w:cs="Times New Roman"/>
          <w:i/>
          <w:iCs/>
          <w:noProof/>
          <w:sz w:val="18"/>
          <w:szCs w:val="24"/>
        </w:rPr>
        <w:t>Hydrological Sciences Journal</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58</w:t>
      </w:r>
      <w:r w:rsidRPr="00147C11">
        <w:rPr>
          <w:rFonts w:ascii="Minion Pro" w:hAnsi="Minion Pro" w:cs="Times New Roman"/>
          <w:noProof/>
          <w:sz w:val="18"/>
          <w:szCs w:val="24"/>
        </w:rPr>
        <w:t>(3). https://doi.org/10.1080/02626667.2013.772298</w:t>
      </w:r>
    </w:p>
    <w:p w14:paraId="42E61FD3"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Suwarno, A., Hein, L., &amp; Sumarga, E. (2015). Governance, decentralisation and deforestation: The case of central Kalimantan Province, Indonesia. </w:t>
      </w:r>
      <w:r w:rsidRPr="00147C11">
        <w:rPr>
          <w:rFonts w:ascii="Minion Pro" w:hAnsi="Minion Pro" w:cs="Times New Roman"/>
          <w:i/>
          <w:iCs/>
          <w:noProof/>
          <w:sz w:val="18"/>
          <w:szCs w:val="24"/>
        </w:rPr>
        <w:t>Quarterly Journal of International Agriculture</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54</w:t>
      </w:r>
      <w:r w:rsidRPr="00147C11">
        <w:rPr>
          <w:rFonts w:ascii="Minion Pro" w:hAnsi="Minion Pro" w:cs="Times New Roman"/>
          <w:noProof/>
          <w:sz w:val="18"/>
          <w:szCs w:val="24"/>
        </w:rPr>
        <w:t>(1).</w:t>
      </w:r>
    </w:p>
    <w:p w14:paraId="115FA9A9"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Taddese, G. (2001). Land degradation: A challenge to Ethiopia. In </w:t>
      </w:r>
      <w:r w:rsidRPr="00147C11">
        <w:rPr>
          <w:rFonts w:ascii="Minion Pro" w:hAnsi="Minion Pro" w:cs="Times New Roman"/>
          <w:i/>
          <w:iCs/>
          <w:noProof/>
          <w:sz w:val="18"/>
          <w:szCs w:val="24"/>
        </w:rPr>
        <w:t>Environmental Management</w:t>
      </w:r>
      <w:r w:rsidRPr="00147C11">
        <w:rPr>
          <w:rFonts w:ascii="Minion Pro" w:hAnsi="Minion Pro" w:cs="Times New Roman"/>
          <w:noProof/>
          <w:sz w:val="18"/>
          <w:szCs w:val="24"/>
        </w:rPr>
        <w:t xml:space="preserve"> (Vol. 27, Issue 6). https://doi.org/10.1007/s002670010190</w:t>
      </w:r>
    </w:p>
    <w:p w14:paraId="1DFC813A"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Tawaraya, K., Turjaman, M., &amp; Ekamawanti, H. A. (2007). Effect of arbuscular mycorrhizal colonization on nitrogen and phosphorus uptake and growth of Aloe vera L. </w:t>
      </w:r>
      <w:r w:rsidRPr="00147C11">
        <w:rPr>
          <w:rFonts w:ascii="Minion Pro" w:hAnsi="Minion Pro" w:cs="Times New Roman"/>
          <w:i/>
          <w:iCs/>
          <w:noProof/>
          <w:sz w:val="18"/>
          <w:szCs w:val="24"/>
        </w:rPr>
        <w:t>HortScience</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42</w:t>
      </w:r>
      <w:r w:rsidRPr="00147C11">
        <w:rPr>
          <w:rFonts w:ascii="Minion Pro" w:hAnsi="Minion Pro" w:cs="Times New Roman"/>
          <w:noProof/>
          <w:sz w:val="18"/>
          <w:szCs w:val="24"/>
        </w:rPr>
        <w:t>(7), 1737–1739. https://doi.org/10.21273/hortsci.42.7.1737</w:t>
      </w:r>
    </w:p>
    <w:p w14:paraId="7AF656D3"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Thomas, C. D., Cameron, A., Green, R. E., Bakkenes, M., Beaumont, L. J., Collingham, Y. C., Erasmus, B. F. N., Ferreira De Siqueira, M., Grainger, A., Hannah, L., Hughes, L., Huntley, B., Van Jaarsveld, A. S., Midgley, G. F., Miles, L., Ortega-Huerta, M. A., Peterson, A. T., Phillips, O. L., &amp; Williams, S. E. (2004). Extinction risk from climate change. </w:t>
      </w:r>
      <w:r w:rsidRPr="00147C11">
        <w:rPr>
          <w:rFonts w:ascii="Minion Pro" w:hAnsi="Minion Pro" w:cs="Times New Roman"/>
          <w:i/>
          <w:iCs/>
          <w:noProof/>
          <w:sz w:val="18"/>
          <w:szCs w:val="24"/>
        </w:rPr>
        <w:t>Nature</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427</w:t>
      </w:r>
      <w:r w:rsidRPr="00147C11">
        <w:rPr>
          <w:rFonts w:ascii="Minion Pro" w:hAnsi="Minion Pro" w:cs="Times New Roman"/>
          <w:noProof/>
          <w:sz w:val="18"/>
          <w:szCs w:val="24"/>
        </w:rPr>
        <w:t>(6970), 145–148. https://doi.org/10.1038/nature02121</w:t>
      </w:r>
    </w:p>
    <w:p w14:paraId="576DC4CD"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Touma, D., Stevenson, S., Lehner, F., &amp; Coats, S. (2021). Human-driven greenhouse gas and aerosol emissions cause distinct regional impacts on extreme fire weather. </w:t>
      </w:r>
      <w:r w:rsidRPr="00147C11">
        <w:rPr>
          <w:rFonts w:ascii="Minion Pro" w:hAnsi="Minion Pro" w:cs="Times New Roman"/>
          <w:i/>
          <w:iCs/>
          <w:noProof/>
          <w:sz w:val="18"/>
          <w:szCs w:val="24"/>
        </w:rPr>
        <w:t>Nature Communications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12</w:t>
      </w:r>
      <w:r w:rsidRPr="00147C11">
        <w:rPr>
          <w:rFonts w:ascii="Minion Pro" w:hAnsi="Minion Pro" w:cs="Times New Roman"/>
          <w:noProof/>
          <w:sz w:val="18"/>
          <w:szCs w:val="24"/>
        </w:rPr>
        <w:t>(1). https://doi.org/10.1038/s41467-020-20570-w</w:t>
      </w:r>
    </w:p>
    <w:p w14:paraId="2923D8E5"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Ullah, A., Raza, K., Nadeem, M., Mehmood, U., Agyekum, E. B., Elnaggar, M. F., Agbozo, E., &amp; Kamel, S. (2022). Does Globalization Cause Greenhouse Gas Emissions in Pakistan? A Promise to Enlighten the Value of Environmental Quality. </w:t>
      </w:r>
      <w:r w:rsidRPr="00147C11">
        <w:rPr>
          <w:rFonts w:ascii="Minion Pro" w:hAnsi="Minion Pro" w:cs="Times New Roman"/>
          <w:i/>
          <w:iCs/>
          <w:noProof/>
          <w:sz w:val="18"/>
          <w:szCs w:val="24"/>
        </w:rPr>
        <w:t>International Journal of Environmental Research and Public Health</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19</w:t>
      </w:r>
      <w:r w:rsidRPr="00147C11">
        <w:rPr>
          <w:rFonts w:ascii="Minion Pro" w:hAnsi="Minion Pro" w:cs="Times New Roman"/>
          <w:noProof/>
          <w:sz w:val="18"/>
          <w:szCs w:val="24"/>
        </w:rPr>
        <w:t>(14). https://doi.org/10.3390/ijerph19148678</w:t>
      </w:r>
    </w:p>
    <w:p w14:paraId="5F449CA9"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Venelia, H., Nisa, K., Wibowo, R. A., &amp; Muda, M. A. (2021). Robust Biplot Analysis of Natural Disasters in Indonesia from 2019 To 2021. </w:t>
      </w:r>
      <w:r w:rsidRPr="00147C11">
        <w:rPr>
          <w:rFonts w:ascii="Minion Pro" w:hAnsi="Minion Pro" w:cs="Times New Roman"/>
          <w:i/>
          <w:iCs/>
          <w:noProof/>
          <w:sz w:val="18"/>
          <w:szCs w:val="24"/>
        </w:rPr>
        <w:t>Jurnal Aplikasi Statistika &amp; Komputasi Statistik</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13</w:t>
      </w:r>
      <w:r w:rsidRPr="00147C11">
        <w:rPr>
          <w:rFonts w:ascii="Minion Pro" w:hAnsi="Minion Pro" w:cs="Times New Roman"/>
          <w:noProof/>
          <w:sz w:val="18"/>
          <w:szCs w:val="24"/>
        </w:rPr>
        <w:t>(2). https://doi.org/10.34123/jurnalasks.v13i2.349</w:t>
      </w:r>
    </w:p>
    <w:p w14:paraId="663AE692"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W.D., S., &amp; I.A.P., R. (1997). Laju dan penyebab deforestasi di Indonesia: penelaahan kerancuan dan penyelesaiannya. </w:t>
      </w:r>
      <w:r w:rsidRPr="00147C11">
        <w:rPr>
          <w:rFonts w:ascii="Minion Pro" w:hAnsi="Minion Pro" w:cs="Times New Roman"/>
          <w:i/>
          <w:iCs/>
          <w:noProof/>
          <w:sz w:val="18"/>
          <w:szCs w:val="24"/>
        </w:rPr>
        <w:t xml:space="preserve">Laju </w:t>
      </w:r>
      <w:r w:rsidRPr="00147C11">
        <w:rPr>
          <w:rFonts w:ascii="Minion Pro" w:hAnsi="Minion Pro" w:cs="Times New Roman"/>
          <w:i/>
          <w:iCs/>
          <w:noProof/>
          <w:sz w:val="18"/>
          <w:szCs w:val="24"/>
        </w:rPr>
        <w:lastRenderedPageBreak/>
        <w:t>Dan Penyebab Deforestasi Di Indonesia: Penelaahan Kerancuan Dan Penyelesaiannya</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9</w:t>
      </w:r>
      <w:r w:rsidRPr="00147C11">
        <w:rPr>
          <w:rFonts w:ascii="Minion Pro" w:hAnsi="Minion Pro" w:cs="Times New Roman"/>
          <w:noProof/>
          <w:sz w:val="18"/>
          <w:szCs w:val="24"/>
        </w:rPr>
        <w:t>(9). https://doi.org/10.17528/cifor/000057</w:t>
      </w:r>
    </w:p>
    <w:p w14:paraId="7CAC4D72"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Wegscheider, S., Purwanto, J., Margono, B. A., Nugroho, S., Budiharto, Buchholz, G., &amp; Sugardiman, R. A. (2019). Current achievements to reduce deforestation in Kalimantan. </w:t>
      </w:r>
      <w:r w:rsidRPr="00147C11">
        <w:rPr>
          <w:rFonts w:ascii="Minion Pro" w:hAnsi="Minion Pro" w:cs="Times New Roman"/>
          <w:i/>
          <w:iCs/>
          <w:noProof/>
          <w:sz w:val="18"/>
          <w:szCs w:val="24"/>
        </w:rPr>
        <w:t>Indonesian Journal of Geography</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50</w:t>
      </w:r>
      <w:r w:rsidRPr="00147C11">
        <w:rPr>
          <w:rFonts w:ascii="Minion Pro" w:hAnsi="Minion Pro" w:cs="Times New Roman"/>
          <w:noProof/>
          <w:sz w:val="18"/>
          <w:szCs w:val="24"/>
        </w:rPr>
        <w:t>(2), 109–120. https://doi.org/10.22146/ijg.23680</w:t>
      </w:r>
    </w:p>
    <w:p w14:paraId="79240985"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cs="Times New Roman"/>
          <w:noProof/>
          <w:sz w:val="18"/>
          <w:szCs w:val="24"/>
        </w:rPr>
      </w:pPr>
      <w:r w:rsidRPr="00147C11">
        <w:rPr>
          <w:rFonts w:ascii="Minion Pro" w:hAnsi="Minion Pro" w:cs="Times New Roman"/>
          <w:noProof/>
          <w:sz w:val="18"/>
          <w:szCs w:val="24"/>
        </w:rPr>
        <w:t xml:space="preserve">Wijaya, A., Firmansyah, R., Said, Z., &amp; Nathania, B. (2019). Monitoring of Indonesia tropical rainforests and land cover change using hybrid approach of time series landsat data. </w:t>
      </w:r>
      <w:r w:rsidRPr="00147C11">
        <w:rPr>
          <w:rFonts w:ascii="Minion Pro" w:hAnsi="Minion Pro" w:cs="Times New Roman"/>
          <w:i/>
          <w:iCs/>
          <w:noProof/>
          <w:sz w:val="18"/>
          <w:szCs w:val="24"/>
        </w:rPr>
        <w:t>International Geoscience and Remote Sensing Symposium (IGARSS)</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2019</w:t>
      </w:r>
      <w:r w:rsidRPr="00147C11">
        <w:rPr>
          <w:rFonts w:ascii="Minion Pro" w:hAnsi="Minion Pro" w:cs="Times New Roman"/>
          <w:noProof/>
          <w:sz w:val="18"/>
          <w:szCs w:val="24"/>
        </w:rPr>
        <w:t>-</w:t>
      </w:r>
      <w:r w:rsidRPr="00147C11">
        <w:rPr>
          <w:rFonts w:ascii="Minion Pro" w:hAnsi="Minion Pro" w:cs="Times New Roman"/>
          <w:i/>
          <w:iCs/>
          <w:noProof/>
          <w:sz w:val="18"/>
          <w:szCs w:val="24"/>
        </w:rPr>
        <w:t>July</w:t>
      </w:r>
      <w:r w:rsidRPr="00147C11">
        <w:rPr>
          <w:rFonts w:ascii="Minion Pro" w:hAnsi="Minion Pro" w:cs="Times New Roman"/>
          <w:noProof/>
          <w:sz w:val="18"/>
          <w:szCs w:val="24"/>
        </w:rPr>
        <w:t>. https://doi.org/10.1109/IGARSS.2019.8900121</w:t>
      </w:r>
    </w:p>
    <w:p w14:paraId="768E1DF0" w14:textId="77777777" w:rsidR="00147C11" w:rsidRPr="00147C11" w:rsidRDefault="00147C11" w:rsidP="00147C11">
      <w:pPr>
        <w:widowControl w:val="0"/>
        <w:autoSpaceDE w:val="0"/>
        <w:autoSpaceDN w:val="0"/>
        <w:adjustRightInd w:val="0"/>
        <w:spacing w:after="0" w:line="360" w:lineRule="auto"/>
        <w:ind w:left="480" w:hanging="480"/>
        <w:rPr>
          <w:rFonts w:ascii="Minion Pro" w:hAnsi="Minion Pro"/>
          <w:noProof/>
          <w:sz w:val="18"/>
        </w:rPr>
      </w:pPr>
      <w:r w:rsidRPr="00147C11">
        <w:rPr>
          <w:rFonts w:ascii="Minion Pro" w:hAnsi="Minion Pro" w:cs="Times New Roman"/>
          <w:noProof/>
          <w:sz w:val="18"/>
          <w:szCs w:val="24"/>
        </w:rPr>
        <w:t xml:space="preserve">Yoshioka, N., Era, M., &amp; Sasaki, D. (2021). Towards integration of climate disaster risk and waste management: A case study of urban and rural coastal communities in the Philippines. </w:t>
      </w:r>
      <w:r w:rsidRPr="00147C11">
        <w:rPr>
          <w:rFonts w:ascii="Minion Pro" w:hAnsi="Minion Pro" w:cs="Times New Roman"/>
          <w:i/>
          <w:iCs/>
          <w:noProof/>
          <w:sz w:val="18"/>
          <w:szCs w:val="24"/>
        </w:rPr>
        <w:t>Sustainability (Switzerland)</w:t>
      </w:r>
      <w:r w:rsidRPr="00147C11">
        <w:rPr>
          <w:rFonts w:ascii="Minion Pro" w:hAnsi="Minion Pro" w:cs="Times New Roman"/>
          <w:noProof/>
          <w:sz w:val="18"/>
          <w:szCs w:val="24"/>
        </w:rPr>
        <w:t xml:space="preserve">, </w:t>
      </w:r>
      <w:r w:rsidRPr="00147C11">
        <w:rPr>
          <w:rFonts w:ascii="Minion Pro" w:hAnsi="Minion Pro" w:cs="Times New Roman"/>
          <w:i/>
          <w:iCs/>
          <w:noProof/>
          <w:sz w:val="18"/>
          <w:szCs w:val="24"/>
        </w:rPr>
        <w:t>13</w:t>
      </w:r>
      <w:r w:rsidRPr="00147C11">
        <w:rPr>
          <w:rFonts w:ascii="Minion Pro" w:hAnsi="Minion Pro" w:cs="Times New Roman"/>
          <w:noProof/>
          <w:sz w:val="18"/>
          <w:szCs w:val="24"/>
        </w:rPr>
        <w:t>(4). https://doi.org/10.3390/su13041624</w:t>
      </w:r>
    </w:p>
    <w:p w14:paraId="59BE2063" w14:textId="15A1B13D" w:rsidR="006A6523" w:rsidRPr="00766F56" w:rsidRDefault="00C203E1" w:rsidP="008512EA">
      <w:pPr>
        <w:pStyle w:val="PlainText"/>
        <w:spacing w:line="360" w:lineRule="auto"/>
        <w:jc w:val="both"/>
        <w:rPr>
          <w:rFonts w:ascii="Minion Pro" w:hAnsi="Minion Pro" w:cs="Times New Roman"/>
          <w:noProof/>
          <w:sz w:val="24"/>
          <w:szCs w:val="24"/>
        </w:rPr>
      </w:pPr>
      <w:r>
        <w:rPr>
          <w:rFonts w:ascii="Minion Pro" w:hAnsi="Minion Pro"/>
          <w:sz w:val="18"/>
          <w:szCs w:val="18"/>
          <w:lang w:val="en"/>
        </w:rPr>
        <w:fldChar w:fldCharType="end"/>
      </w:r>
      <w:r w:rsidR="00DD32AC" w:rsidRPr="00EE565D">
        <w:rPr>
          <w:rFonts w:ascii="Minion Pro" w:hAnsi="Minion Pro"/>
          <w:sz w:val="18"/>
          <w:szCs w:val="18"/>
          <w:lang w:val="en"/>
        </w:rPr>
        <w:t xml:space="preserve"> </w:t>
      </w:r>
    </w:p>
    <w:sectPr w:rsidR="006A6523" w:rsidRPr="00766F56" w:rsidSect="00766F56">
      <w:headerReference w:type="even" r:id="rId18"/>
      <w:headerReference w:type="default" r:id="rId19"/>
      <w:footerReference w:type="even" r:id="rId20"/>
      <w:footerReference w:type="default" r:id="rId21"/>
      <w:type w:val="continuous"/>
      <w:pgSz w:w="11907" w:h="16839" w:code="9"/>
      <w:pgMar w:top="1440" w:right="1440" w:bottom="1440" w:left="1440" w:header="709" w:footer="709" w:gutter="0"/>
      <w:lnNumType w:countBy="1"/>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DF14B" w14:textId="77777777" w:rsidR="00BD44F4" w:rsidRDefault="00BD44F4" w:rsidP="000871CD">
      <w:pPr>
        <w:spacing w:after="0" w:line="240" w:lineRule="auto"/>
      </w:pPr>
      <w:r>
        <w:separator/>
      </w:r>
    </w:p>
  </w:endnote>
  <w:endnote w:type="continuationSeparator" w:id="0">
    <w:p w14:paraId="63D0A013" w14:textId="77777777" w:rsidR="00BD44F4" w:rsidRDefault="00BD44F4" w:rsidP="00087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Calibri-Bold">
    <w:altName w:val="Calibri"/>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CF87" w14:textId="77777777" w:rsidR="003B0EB6" w:rsidRDefault="00421FE0">
    <w:pPr>
      <w:pStyle w:val="Footer"/>
      <w:jc w:val="center"/>
    </w:pPr>
    <w:r>
      <w:t>12</w:t>
    </w:r>
    <w:r w:rsidR="00AF4834">
      <w:t>2</w:t>
    </w:r>
  </w:p>
  <w:p w14:paraId="49CD408A" w14:textId="77777777" w:rsidR="003B0EB6" w:rsidRDefault="003B0E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9152" w14:textId="77777777" w:rsidR="003B0EB6" w:rsidRDefault="003B0EB6" w:rsidP="00175A0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E647" w14:textId="77777777" w:rsidR="003B0EB6" w:rsidRDefault="003B0EB6">
    <w:pPr>
      <w:pStyle w:val="Footer"/>
      <w:jc w:val="center"/>
    </w:pPr>
    <w:r>
      <w:fldChar w:fldCharType="begin"/>
    </w:r>
    <w:r>
      <w:instrText xml:space="preserve"> PAGE   \* MERGEFORMAT </w:instrText>
    </w:r>
    <w:r>
      <w:fldChar w:fldCharType="separate"/>
    </w:r>
    <w:r w:rsidR="00B25F5C">
      <w:rPr>
        <w:noProof/>
      </w:rPr>
      <w:t>8</w:t>
    </w:r>
    <w:r>
      <w:fldChar w:fldCharType="end"/>
    </w:r>
  </w:p>
  <w:p w14:paraId="486B1632" w14:textId="77777777" w:rsidR="003B0EB6" w:rsidRDefault="003B0E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D9BA7" w14:textId="77777777" w:rsidR="006B717D" w:rsidRDefault="006B7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13E09" w14:textId="77777777" w:rsidR="00BD44F4" w:rsidRDefault="00BD44F4" w:rsidP="000871CD">
      <w:pPr>
        <w:spacing w:after="0" w:line="240" w:lineRule="auto"/>
      </w:pPr>
      <w:r>
        <w:separator/>
      </w:r>
    </w:p>
  </w:footnote>
  <w:footnote w:type="continuationSeparator" w:id="0">
    <w:p w14:paraId="36EAE7FA" w14:textId="77777777" w:rsidR="00BD44F4" w:rsidRDefault="00BD44F4" w:rsidP="00087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577E" w14:textId="77777777" w:rsidR="003B0EB6" w:rsidRDefault="003B0EB6" w:rsidP="00B03FC8">
    <w:pPr>
      <w:pStyle w:val="Header"/>
      <w:pBdr>
        <w:bottom w:val="single" w:sz="4" w:space="1" w:color="auto"/>
      </w:pBdr>
      <w:jc w:val="center"/>
      <w:rPr>
        <w:rFonts w:ascii="Times New Roman" w:hAnsi="Times New Roman" w:cs="Times New Roman"/>
        <w:sz w:val="16"/>
        <w:szCs w:val="16"/>
      </w:rPr>
    </w:pPr>
  </w:p>
  <w:p w14:paraId="0CD566CD" w14:textId="77777777" w:rsidR="003B0EB6" w:rsidRPr="00040E29" w:rsidRDefault="003B0EB6" w:rsidP="00B03FC8">
    <w:pPr>
      <w:pStyle w:val="Header"/>
      <w:pBdr>
        <w:bottom w:val="single" w:sz="4" w:space="1" w:color="auto"/>
      </w:pBdr>
      <w:jc w:val="center"/>
      <w:rPr>
        <w:rFonts w:ascii="Times New Roman" w:hAnsi="Times New Roman" w:cs="Times New Roman"/>
        <w:sz w:val="16"/>
        <w:szCs w:val="16"/>
      </w:rPr>
    </w:pPr>
    <w:r w:rsidRPr="00040E29">
      <w:rPr>
        <w:rFonts w:ascii="Times New Roman" w:hAnsi="Times New Roman" w:cs="Times New Roman"/>
        <w:sz w:val="16"/>
        <w:szCs w:val="16"/>
      </w:rPr>
      <w:t>Indonesian Journal of Geography, Vol 4</w:t>
    </w:r>
    <w:r>
      <w:rPr>
        <w:rFonts w:ascii="Times New Roman" w:hAnsi="Times New Roman" w:cs="Times New Roman"/>
        <w:sz w:val="16"/>
        <w:szCs w:val="16"/>
      </w:rPr>
      <w:t>4</w:t>
    </w:r>
    <w:r w:rsidRPr="00040E29">
      <w:rPr>
        <w:rFonts w:ascii="Times New Roman" w:hAnsi="Times New Roman" w:cs="Times New Roman"/>
        <w:sz w:val="16"/>
        <w:szCs w:val="16"/>
      </w:rPr>
      <w:t xml:space="preserve">, No. </w:t>
    </w:r>
    <w:r>
      <w:rPr>
        <w:rFonts w:ascii="Times New Roman" w:hAnsi="Times New Roman" w:cs="Times New Roman"/>
        <w:sz w:val="16"/>
        <w:szCs w:val="16"/>
      </w:rPr>
      <w:t>2</w:t>
    </w:r>
    <w:r w:rsidRPr="00040E29">
      <w:rPr>
        <w:rFonts w:ascii="Times New Roman" w:hAnsi="Times New Roman" w:cs="Times New Roman"/>
        <w:sz w:val="16"/>
        <w:szCs w:val="16"/>
      </w:rPr>
      <w:t xml:space="preserve">, </w:t>
    </w:r>
    <w:r>
      <w:rPr>
        <w:rFonts w:ascii="Times New Roman" w:hAnsi="Times New Roman" w:cs="Times New Roman"/>
        <w:sz w:val="16"/>
        <w:szCs w:val="16"/>
      </w:rPr>
      <w:t xml:space="preserve">December </w:t>
    </w:r>
    <w:r w:rsidR="00C26CAD" w:rsidRPr="00040E29">
      <w:rPr>
        <w:rFonts w:ascii="Times New Roman" w:hAnsi="Times New Roman" w:cs="Times New Roman"/>
        <w:sz w:val="16"/>
        <w:szCs w:val="16"/>
      </w:rPr>
      <w:t>201</w:t>
    </w:r>
    <w:r w:rsidR="00C26CAD">
      <w:rPr>
        <w:rFonts w:ascii="Times New Roman" w:hAnsi="Times New Roman" w:cs="Times New Roman"/>
        <w:sz w:val="16"/>
        <w:szCs w:val="16"/>
      </w:rPr>
      <w:t>2:</w:t>
    </w:r>
    <w:r w:rsidRPr="00040E29">
      <w:rPr>
        <w:rFonts w:ascii="Times New Roman" w:hAnsi="Times New Roman" w:cs="Times New Roman"/>
        <w:sz w:val="16"/>
        <w:szCs w:val="16"/>
      </w:rPr>
      <w:t xml:space="preserve"> </w:t>
    </w:r>
    <w:r w:rsidR="00EA522F">
      <w:rPr>
        <w:rFonts w:ascii="Times New Roman" w:hAnsi="Times New Roman" w:cs="Times New Roman"/>
        <w:sz w:val="16"/>
        <w:szCs w:val="16"/>
      </w:rPr>
      <w:t>1</w:t>
    </w:r>
    <w:r w:rsidR="00662904">
      <w:rPr>
        <w:rFonts w:ascii="Times New Roman" w:hAnsi="Times New Roman" w:cs="Times New Roman"/>
        <w:sz w:val="16"/>
        <w:szCs w:val="16"/>
      </w:rPr>
      <w:t>21</w:t>
    </w:r>
    <w:r>
      <w:rPr>
        <w:rFonts w:ascii="Times New Roman" w:hAnsi="Times New Roman" w:cs="Times New Roman"/>
        <w:sz w:val="16"/>
        <w:szCs w:val="16"/>
      </w:rPr>
      <w:t xml:space="preserve"> - </w:t>
    </w:r>
    <w:r w:rsidR="00662904">
      <w:rPr>
        <w:rFonts w:ascii="Times New Roman" w:hAnsi="Times New Roman" w:cs="Times New Roman"/>
        <w:sz w:val="16"/>
        <w:szCs w:val="16"/>
      </w:rPr>
      <w:t>134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4E09" w14:textId="77777777" w:rsidR="00EE565D" w:rsidRDefault="00000000" w:rsidP="00EE565D">
    <w:pPr>
      <w:pStyle w:val="Header"/>
      <w:rPr>
        <w:sz w:val="16"/>
        <w:szCs w:val="16"/>
      </w:rPr>
    </w:pPr>
    <w:r>
      <w:rPr>
        <w:noProof/>
      </w:rPr>
      <w:pict w14:anchorId="6F6F8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50.4pt;margin-top:4.25pt;width:129pt;height:39pt;z-index:-1">
          <v:imagedata r:id="rId1" o:title=""/>
        </v:shape>
      </w:pict>
    </w:r>
    <w:r w:rsidR="00EE565D">
      <w:rPr>
        <w:sz w:val="16"/>
        <w:szCs w:val="16"/>
      </w:rPr>
      <w:t xml:space="preserve">ISSN </w:t>
    </w:r>
    <w:r w:rsidR="00EE565D" w:rsidRPr="00CA2C83">
      <w:rPr>
        <w:sz w:val="16"/>
        <w:szCs w:val="16"/>
      </w:rPr>
      <w:t>2354-9114 (online), ISSN 0024-9521 (print)</w:t>
    </w:r>
  </w:p>
  <w:p w14:paraId="3B677F25" w14:textId="77777777" w:rsidR="00EE565D" w:rsidRPr="00CA2C83" w:rsidRDefault="00EE565D" w:rsidP="00EE565D">
    <w:pPr>
      <w:pStyle w:val="Header"/>
      <w:rPr>
        <w:sz w:val="16"/>
        <w:szCs w:val="16"/>
      </w:rPr>
    </w:pPr>
    <w:r w:rsidRPr="00CA2C83">
      <w:rPr>
        <w:sz w:val="16"/>
        <w:szCs w:val="16"/>
      </w:rPr>
      <w:t>Indonesian Journal of Geography</w:t>
    </w:r>
    <w:r>
      <w:rPr>
        <w:sz w:val="16"/>
        <w:szCs w:val="16"/>
      </w:rPr>
      <w:t xml:space="preserve"> </w:t>
    </w:r>
    <w:r w:rsidRPr="00CA2C83">
      <w:rPr>
        <w:sz w:val="16"/>
        <w:szCs w:val="16"/>
      </w:rPr>
      <w:t xml:space="preserve">Vol </w:t>
    </w:r>
    <w:r>
      <w:rPr>
        <w:sz w:val="16"/>
        <w:szCs w:val="16"/>
      </w:rPr>
      <w:t>…</w:t>
    </w:r>
    <w:r w:rsidRPr="00CA2C83">
      <w:rPr>
        <w:sz w:val="16"/>
        <w:szCs w:val="16"/>
      </w:rPr>
      <w:t xml:space="preserve">, No </w:t>
    </w:r>
    <w:r>
      <w:rPr>
        <w:sz w:val="16"/>
        <w:szCs w:val="16"/>
      </w:rPr>
      <w:t>…</w:t>
    </w:r>
    <w:r w:rsidRPr="00CA2C83">
      <w:rPr>
        <w:sz w:val="16"/>
        <w:szCs w:val="16"/>
      </w:rPr>
      <w:t xml:space="preserve"> (</w:t>
    </w:r>
    <w:r>
      <w:rPr>
        <w:sz w:val="16"/>
        <w:szCs w:val="16"/>
      </w:rPr>
      <w:t>……</w:t>
    </w:r>
    <w:r w:rsidRPr="00CA2C83">
      <w:rPr>
        <w:sz w:val="16"/>
        <w:szCs w:val="16"/>
      </w:rPr>
      <w:t xml:space="preserve">): </w:t>
    </w:r>
  </w:p>
  <w:p w14:paraId="0C857A0C" w14:textId="77777777" w:rsidR="00EE565D" w:rsidRPr="00CA2C83" w:rsidRDefault="00EE565D" w:rsidP="00EE565D">
    <w:pPr>
      <w:pStyle w:val="Header"/>
      <w:rPr>
        <w:sz w:val="16"/>
        <w:szCs w:val="16"/>
      </w:rPr>
    </w:pPr>
    <w:r w:rsidRPr="00CA2C83">
      <w:rPr>
        <w:sz w:val="16"/>
        <w:szCs w:val="16"/>
      </w:rPr>
      <w:t>DOI: 10.22146/</w:t>
    </w:r>
    <w:proofErr w:type="spellStart"/>
    <w:r w:rsidRPr="00CA2C83">
      <w:rPr>
        <w:sz w:val="16"/>
        <w:szCs w:val="16"/>
      </w:rPr>
      <w:t>ijg</w:t>
    </w:r>
    <w:proofErr w:type="spellEnd"/>
    <w:r>
      <w:rPr>
        <w:sz w:val="16"/>
        <w:szCs w:val="16"/>
      </w:rPr>
      <w:t>…….</w:t>
    </w:r>
    <w:r w:rsidRPr="00CA2C83">
      <w:rPr>
        <w:sz w:val="16"/>
        <w:szCs w:val="16"/>
      </w:rPr>
      <w:t xml:space="preserve"> website: htps://jurnal.ugm.ac.id/ijg</w:t>
    </w:r>
  </w:p>
  <w:p w14:paraId="77A7DC66" w14:textId="77777777" w:rsidR="00EE565D" w:rsidRPr="00CA2C83" w:rsidRDefault="00EE565D" w:rsidP="00EE565D">
    <w:pPr>
      <w:pStyle w:val="Header"/>
      <w:rPr>
        <w:sz w:val="16"/>
        <w:szCs w:val="16"/>
      </w:rPr>
    </w:pPr>
    <w:r w:rsidRPr="00CA2C83">
      <w:rPr>
        <w:sz w:val="16"/>
        <w:szCs w:val="16"/>
      </w:rPr>
      <w:t>©202</w:t>
    </w:r>
    <w:r>
      <w:rPr>
        <w:sz w:val="16"/>
        <w:szCs w:val="16"/>
      </w:rPr>
      <w:t>3</w:t>
    </w:r>
    <w:r w:rsidRPr="00CA2C83">
      <w:rPr>
        <w:sz w:val="16"/>
        <w:szCs w:val="16"/>
      </w:rPr>
      <w:t xml:space="preserve"> Faculty of Geography UGM and The Indonesian Geographers </w:t>
    </w:r>
    <w:proofErr w:type="spellStart"/>
    <w:r w:rsidRPr="00CA2C83">
      <w:rPr>
        <w:sz w:val="16"/>
        <w:szCs w:val="16"/>
      </w:rPr>
      <w:t>Associaton</w:t>
    </w:r>
    <w:proofErr w:type="spellEnd"/>
  </w:p>
  <w:p w14:paraId="7DBF1E2D" w14:textId="77777777" w:rsidR="00EE565D" w:rsidRDefault="00EE56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F406" w14:textId="77777777" w:rsidR="003B0EB6" w:rsidRPr="00766F56" w:rsidRDefault="003B0EB6" w:rsidP="00766F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C665" w14:textId="77777777" w:rsidR="003B0EB6" w:rsidRPr="00766F56" w:rsidRDefault="003B0EB6" w:rsidP="00766F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91051"/>
    <w:multiLevelType w:val="hybridMultilevel"/>
    <w:tmpl w:val="FF1A34D8"/>
    <w:lvl w:ilvl="0" w:tplc="21BA59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FCA5CFB"/>
    <w:multiLevelType w:val="hybridMultilevel"/>
    <w:tmpl w:val="F31E7CF0"/>
    <w:lvl w:ilvl="0" w:tplc="8C287DBE">
      <w:start w:val="3"/>
      <w:numFmt w:val="upperRoman"/>
      <w:lvlText w:val="%1."/>
      <w:lvlJc w:val="left"/>
      <w:pPr>
        <w:tabs>
          <w:tab w:val="num" w:pos="1080"/>
        </w:tabs>
        <w:ind w:left="1080" w:hanging="720"/>
      </w:pPr>
      <w:rPr>
        <w:rFont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11BC017A"/>
    <w:multiLevelType w:val="multilevel"/>
    <w:tmpl w:val="17E06E7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9B14FF"/>
    <w:multiLevelType w:val="hybridMultilevel"/>
    <w:tmpl w:val="17A6BE8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59C1C9C"/>
    <w:multiLevelType w:val="hybridMultilevel"/>
    <w:tmpl w:val="C79E9518"/>
    <w:lvl w:ilvl="0" w:tplc="65F600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28D95627"/>
    <w:multiLevelType w:val="hybridMultilevel"/>
    <w:tmpl w:val="051437E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97E7442"/>
    <w:multiLevelType w:val="hybridMultilevel"/>
    <w:tmpl w:val="AFF8312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2E2273"/>
    <w:multiLevelType w:val="hybridMultilevel"/>
    <w:tmpl w:val="7714C460"/>
    <w:lvl w:ilvl="0" w:tplc="66A40094">
      <w:start w:val="1"/>
      <w:numFmt w:val="upperLetter"/>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0106AB"/>
    <w:multiLevelType w:val="hybridMultilevel"/>
    <w:tmpl w:val="B24E1274"/>
    <w:lvl w:ilvl="0" w:tplc="2DFA2932">
      <w:start w:val="1"/>
      <w:numFmt w:val="decimal"/>
      <w:lvlText w:val="%1"/>
      <w:lvlJc w:val="left"/>
      <w:pPr>
        <w:ind w:left="1440" w:hanging="360"/>
      </w:pPr>
      <w:rPr>
        <w:rFonts w:ascii="Times New Roman" w:eastAsia="Times New Roman" w:hAnsi="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321164F8"/>
    <w:multiLevelType w:val="hybridMultilevel"/>
    <w:tmpl w:val="84CC21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53F66B7"/>
    <w:multiLevelType w:val="hybridMultilevel"/>
    <w:tmpl w:val="2DC2F0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0537A3D"/>
    <w:multiLevelType w:val="hybridMultilevel"/>
    <w:tmpl w:val="0012F97E"/>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1575A0E"/>
    <w:multiLevelType w:val="hybridMultilevel"/>
    <w:tmpl w:val="7406937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25C7C68"/>
    <w:multiLevelType w:val="hybridMultilevel"/>
    <w:tmpl w:val="E18E98FA"/>
    <w:lvl w:ilvl="0" w:tplc="86945ADA">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467946F5"/>
    <w:multiLevelType w:val="hybridMultilevel"/>
    <w:tmpl w:val="63228EA2"/>
    <w:lvl w:ilvl="0" w:tplc="E09A09F6">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489718AF"/>
    <w:multiLevelType w:val="hybridMultilevel"/>
    <w:tmpl w:val="34306D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493A5E"/>
    <w:multiLevelType w:val="hybridMultilevel"/>
    <w:tmpl w:val="B07C37F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09B10E8"/>
    <w:multiLevelType w:val="hybridMultilevel"/>
    <w:tmpl w:val="5C62AB6C"/>
    <w:lvl w:ilvl="0" w:tplc="CF1E293C">
      <w:start w:val="1"/>
      <w:numFmt w:val="decimal"/>
      <w:lvlText w:val="%1."/>
      <w:lvlJc w:val="left"/>
      <w:pPr>
        <w:ind w:left="644" w:hanging="360"/>
      </w:pPr>
      <w:rPr>
        <w:rFonts w:ascii="Times New Roman" w:eastAsia="Times New Roman" w:hAnsi="Times New Roman"/>
        <w:i w:val="0"/>
        <w:iCs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8" w15:restartNumberingAfterBreak="0">
    <w:nsid w:val="518E7233"/>
    <w:multiLevelType w:val="hybridMultilevel"/>
    <w:tmpl w:val="DB5C0C6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57FD4479"/>
    <w:multiLevelType w:val="hybridMultilevel"/>
    <w:tmpl w:val="D6ECA174"/>
    <w:lvl w:ilvl="0" w:tplc="0BA88012">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584D5CD3"/>
    <w:multiLevelType w:val="hybridMultilevel"/>
    <w:tmpl w:val="6A0A7A5C"/>
    <w:lvl w:ilvl="0" w:tplc="878697C0">
      <w:start w:val="1"/>
      <w:numFmt w:val="low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BC152EB"/>
    <w:multiLevelType w:val="hybridMultilevel"/>
    <w:tmpl w:val="D95C5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F6F02BC"/>
    <w:multiLevelType w:val="hybridMultilevel"/>
    <w:tmpl w:val="0D4A3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36C03C4"/>
    <w:multiLevelType w:val="hybridMultilevel"/>
    <w:tmpl w:val="DB8AFC62"/>
    <w:lvl w:ilvl="0" w:tplc="7C6A7CCA">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649457F2"/>
    <w:multiLevelType w:val="hybridMultilevel"/>
    <w:tmpl w:val="6EC4D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B8A573C"/>
    <w:multiLevelType w:val="hybridMultilevel"/>
    <w:tmpl w:val="93B61B5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6B9F0598"/>
    <w:multiLevelType w:val="hybridMultilevel"/>
    <w:tmpl w:val="6B3C631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BDD59D0"/>
    <w:multiLevelType w:val="hybridMultilevel"/>
    <w:tmpl w:val="9D9E20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C1F2D3B"/>
    <w:multiLevelType w:val="hybridMultilevel"/>
    <w:tmpl w:val="0F8A83A8"/>
    <w:lvl w:ilvl="0" w:tplc="5AF02AEC">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15:restartNumberingAfterBreak="0">
    <w:nsid w:val="6FE32B2A"/>
    <w:multiLevelType w:val="hybridMultilevel"/>
    <w:tmpl w:val="116A88A2"/>
    <w:lvl w:ilvl="0" w:tplc="8138C8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6FF31E4D"/>
    <w:multiLevelType w:val="hybridMultilevel"/>
    <w:tmpl w:val="5380B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D576E5"/>
    <w:multiLevelType w:val="hybridMultilevel"/>
    <w:tmpl w:val="26E46F34"/>
    <w:lvl w:ilvl="0" w:tplc="4F26F12E">
      <w:start w:val="1"/>
      <w:numFmt w:val="decimal"/>
      <w:lvlText w:val="%1."/>
      <w:lvlJc w:val="left"/>
      <w:pPr>
        <w:ind w:left="720" w:hanging="360"/>
      </w:pPr>
      <w:rPr>
        <w:rFonts w:cs="Couri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DE4506"/>
    <w:multiLevelType w:val="hybridMultilevel"/>
    <w:tmpl w:val="0D4A3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F677235"/>
    <w:multiLevelType w:val="hybridMultilevel"/>
    <w:tmpl w:val="42088CA4"/>
    <w:lvl w:ilvl="0" w:tplc="95625292">
      <w:start w:val="1"/>
      <w:numFmt w:val="decimal"/>
      <w:lvlText w:val="%1."/>
      <w:lvlJc w:val="left"/>
      <w:pPr>
        <w:ind w:left="1079" w:hanging="360"/>
      </w:pPr>
      <w:rPr>
        <w:rFonts w:hint="default"/>
      </w:rPr>
    </w:lvl>
    <w:lvl w:ilvl="1" w:tplc="04090019">
      <w:start w:val="1"/>
      <w:numFmt w:val="lowerLetter"/>
      <w:lvlText w:val="%2."/>
      <w:lvlJc w:val="left"/>
      <w:pPr>
        <w:ind w:left="1799" w:hanging="360"/>
      </w:pPr>
    </w:lvl>
    <w:lvl w:ilvl="2" w:tplc="0409001B">
      <w:start w:val="1"/>
      <w:numFmt w:val="lowerRoman"/>
      <w:lvlText w:val="%3."/>
      <w:lvlJc w:val="right"/>
      <w:pPr>
        <w:ind w:left="2519" w:hanging="180"/>
      </w:pPr>
    </w:lvl>
    <w:lvl w:ilvl="3" w:tplc="0409000F">
      <w:start w:val="1"/>
      <w:numFmt w:val="decimal"/>
      <w:lvlText w:val="%4."/>
      <w:lvlJc w:val="left"/>
      <w:pPr>
        <w:ind w:left="3239" w:hanging="360"/>
      </w:pPr>
    </w:lvl>
    <w:lvl w:ilvl="4" w:tplc="04090019">
      <w:start w:val="1"/>
      <w:numFmt w:val="lowerLetter"/>
      <w:lvlText w:val="%5."/>
      <w:lvlJc w:val="left"/>
      <w:pPr>
        <w:ind w:left="3959" w:hanging="360"/>
      </w:pPr>
    </w:lvl>
    <w:lvl w:ilvl="5" w:tplc="0409001B">
      <w:start w:val="1"/>
      <w:numFmt w:val="lowerRoman"/>
      <w:lvlText w:val="%6."/>
      <w:lvlJc w:val="right"/>
      <w:pPr>
        <w:ind w:left="4679" w:hanging="180"/>
      </w:pPr>
    </w:lvl>
    <w:lvl w:ilvl="6" w:tplc="0409000F">
      <w:start w:val="1"/>
      <w:numFmt w:val="decimal"/>
      <w:lvlText w:val="%7."/>
      <w:lvlJc w:val="left"/>
      <w:pPr>
        <w:ind w:left="5399" w:hanging="360"/>
      </w:pPr>
    </w:lvl>
    <w:lvl w:ilvl="7" w:tplc="04090019">
      <w:start w:val="1"/>
      <w:numFmt w:val="lowerLetter"/>
      <w:lvlText w:val="%8."/>
      <w:lvlJc w:val="left"/>
      <w:pPr>
        <w:ind w:left="6119" w:hanging="360"/>
      </w:pPr>
    </w:lvl>
    <w:lvl w:ilvl="8" w:tplc="0409001B">
      <w:start w:val="1"/>
      <w:numFmt w:val="lowerRoman"/>
      <w:lvlText w:val="%9."/>
      <w:lvlJc w:val="right"/>
      <w:pPr>
        <w:ind w:left="6839" w:hanging="180"/>
      </w:pPr>
    </w:lvl>
  </w:abstractNum>
  <w:abstractNum w:abstractNumId="34" w15:restartNumberingAfterBreak="0">
    <w:nsid w:val="7FB940C9"/>
    <w:multiLevelType w:val="hybridMultilevel"/>
    <w:tmpl w:val="54E8D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37805274">
    <w:abstractNumId w:val="17"/>
  </w:num>
  <w:num w:numId="2" w16cid:durableId="1660957464">
    <w:abstractNumId w:val="26"/>
  </w:num>
  <w:num w:numId="3" w16cid:durableId="1290817249">
    <w:abstractNumId w:val="22"/>
  </w:num>
  <w:num w:numId="4" w16cid:durableId="1594967845">
    <w:abstractNumId w:val="9"/>
  </w:num>
  <w:num w:numId="5" w16cid:durableId="549342894">
    <w:abstractNumId w:val="11"/>
  </w:num>
  <w:num w:numId="6" w16cid:durableId="812455236">
    <w:abstractNumId w:val="27"/>
  </w:num>
  <w:num w:numId="7" w16cid:durableId="1996716254">
    <w:abstractNumId w:val="19"/>
  </w:num>
  <w:num w:numId="8" w16cid:durableId="1068501662">
    <w:abstractNumId w:val="6"/>
  </w:num>
  <w:num w:numId="9" w16cid:durableId="113064977">
    <w:abstractNumId w:val="32"/>
  </w:num>
  <w:num w:numId="10" w16cid:durableId="509030698">
    <w:abstractNumId w:val="14"/>
  </w:num>
  <w:num w:numId="11" w16cid:durableId="1147169488">
    <w:abstractNumId w:val="13"/>
  </w:num>
  <w:num w:numId="12" w16cid:durableId="2057898729">
    <w:abstractNumId w:val="0"/>
  </w:num>
  <w:num w:numId="13" w16cid:durableId="1107191370">
    <w:abstractNumId w:val="33"/>
  </w:num>
  <w:num w:numId="14" w16cid:durableId="1950503905">
    <w:abstractNumId w:val="29"/>
  </w:num>
  <w:num w:numId="15" w16cid:durableId="512109147">
    <w:abstractNumId w:val="4"/>
  </w:num>
  <w:num w:numId="16" w16cid:durableId="275329216">
    <w:abstractNumId w:val="3"/>
  </w:num>
  <w:num w:numId="17" w16cid:durableId="79764576">
    <w:abstractNumId w:val="23"/>
  </w:num>
  <w:num w:numId="18" w16cid:durableId="1270310252">
    <w:abstractNumId w:val="1"/>
  </w:num>
  <w:num w:numId="19" w16cid:durableId="959259345">
    <w:abstractNumId w:val="7"/>
  </w:num>
  <w:num w:numId="20" w16cid:durableId="1849950894">
    <w:abstractNumId w:val="28"/>
  </w:num>
  <w:num w:numId="21" w16cid:durableId="1994291617">
    <w:abstractNumId w:val="10"/>
  </w:num>
  <w:num w:numId="22" w16cid:durableId="2049911239">
    <w:abstractNumId w:val="20"/>
  </w:num>
  <w:num w:numId="23" w16cid:durableId="1986080018">
    <w:abstractNumId w:val="21"/>
  </w:num>
  <w:num w:numId="24" w16cid:durableId="1375422744">
    <w:abstractNumId w:val="16"/>
  </w:num>
  <w:num w:numId="25" w16cid:durableId="1688287945">
    <w:abstractNumId w:val="25"/>
  </w:num>
  <w:num w:numId="26" w16cid:durableId="56558069">
    <w:abstractNumId w:val="2"/>
  </w:num>
  <w:num w:numId="27" w16cid:durableId="1320039460">
    <w:abstractNumId w:val="8"/>
  </w:num>
  <w:num w:numId="28" w16cid:durableId="2034187884">
    <w:abstractNumId w:val="5"/>
  </w:num>
  <w:num w:numId="29" w16cid:durableId="2145464692">
    <w:abstractNumId w:val="18"/>
  </w:num>
  <w:num w:numId="30" w16cid:durableId="1985769091">
    <w:abstractNumId w:val="24"/>
  </w:num>
  <w:num w:numId="31" w16cid:durableId="1687712869">
    <w:abstractNumId w:val="34"/>
  </w:num>
  <w:num w:numId="32" w16cid:durableId="644239507">
    <w:abstractNumId w:val="30"/>
  </w:num>
  <w:num w:numId="33" w16cid:durableId="1666207346">
    <w:abstractNumId w:val="15"/>
  </w:num>
  <w:num w:numId="34" w16cid:durableId="519705253">
    <w:abstractNumId w:val="31"/>
  </w:num>
  <w:num w:numId="35" w16cid:durableId="16983829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oNotTrackMoves/>
  <w:defaultTabStop w:val="720"/>
  <w:doNotHyphenateCaps/>
  <w:evenAndOddHeaders/>
  <w:drawingGridHorizontalSpacing w:val="110"/>
  <w:displayHorizontalDrawingGridEvery w:val="2"/>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1CD"/>
    <w:rsid w:val="00005014"/>
    <w:rsid w:val="00010C9C"/>
    <w:rsid w:val="00012FCC"/>
    <w:rsid w:val="00017B3A"/>
    <w:rsid w:val="000221A7"/>
    <w:rsid w:val="0002566A"/>
    <w:rsid w:val="00027B09"/>
    <w:rsid w:val="00030D07"/>
    <w:rsid w:val="00033ADD"/>
    <w:rsid w:val="000356A6"/>
    <w:rsid w:val="00040E29"/>
    <w:rsid w:val="000414A2"/>
    <w:rsid w:val="00047B16"/>
    <w:rsid w:val="000513D7"/>
    <w:rsid w:val="00051BD6"/>
    <w:rsid w:val="00056839"/>
    <w:rsid w:val="00062A4D"/>
    <w:rsid w:val="0006768A"/>
    <w:rsid w:val="00071607"/>
    <w:rsid w:val="00075CAA"/>
    <w:rsid w:val="00075EBB"/>
    <w:rsid w:val="00082447"/>
    <w:rsid w:val="000871CD"/>
    <w:rsid w:val="000875A3"/>
    <w:rsid w:val="000A14DB"/>
    <w:rsid w:val="000B30F8"/>
    <w:rsid w:val="000B3527"/>
    <w:rsid w:val="000D0DFB"/>
    <w:rsid w:val="000E0EFD"/>
    <w:rsid w:val="000E0FAB"/>
    <w:rsid w:val="000E41E8"/>
    <w:rsid w:val="000E58C1"/>
    <w:rsid w:val="00101910"/>
    <w:rsid w:val="001114ED"/>
    <w:rsid w:val="00115B73"/>
    <w:rsid w:val="00120E2F"/>
    <w:rsid w:val="00123B7E"/>
    <w:rsid w:val="00126FD7"/>
    <w:rsid w:val="00127AB1"/>
    <w:rsid w:val="0013179C"/>
    <w:rsid w:val="00131DF1"/>
    <w:rsid w:val="0014366B"/>
    <w:rsid w:val="00146868"/>
    <w:rsid w:val="00147C11"/>
    <w:rsid w:val="00152925"/>
    <w:rsid w:val="00156700"/>
    <w:rsid w:val="00156CE1"/>
    <w:rsid w:val="001604B8"/>
    <w:rsid w:val="0016240C"/>
    <w:rsid w:val="001644E6"/>
    <w:rsid w:val="00164BEF"/>
    <w:rsid w:val="00167970"/>
    <w:rsid w:val="00167BE2"/>
    <w:rsid w:val="00171344"/>
    <w:rsid w:val="00175A05"/>
    <w:rsid w:val="00177497"/>
    <w:rsid w:val="001839CF"/>
    <w:rsid w:val="00187339"/>
    <w:rsid w:val="001A5BAA"/>
    <w:rsid w:val="001B05C3"/>
    <w:rsid w:val="001B1A60"/>
    <w:rsid w:val="001C0CD3"/>
    <w:rsid w:val="001C1426"/>
    <w:rsid w:val="001C4649"/>
    <w:rsid w:val="001C50EC"/>
    <w:rsid w:val="001D05B6"/>
    <w:rsid w:val="001D4A58"/>
    <w:rsid w:val="001D4D03"/>
    <w:rsid w:val="001E44D5"/>
    <w:rsid w:val="001E5590"/>
    <w:rsid w:val="001F5159"/>
    <w:rsid w:val="001F563A"/>
    <w:rsid w:val="001F5AED"/>
    <w:rsid w:val="00204784"/>
    <w:rsid w:val="002118B1"/>
    <w:rsid w:val="00213C11"/>
    <w:rsid w:val="00221505"/>
    <w:rsid w:val="00221669"/>
    <w:rsid w:val="00222E06"/>
    <w:rsid w:val="002237B2"/>
    <w:rsid w:val="00227836"/>
    <w:rsid w:val="0023119D"/>
    <w:rsid w:val="002330E2"/>
    <w:rsid w:val="00234932"/>
    <w:rsid w:val="00234C1F"/>
    <w:rsid w:val="00235937"/>
    <w:rsid w:val="00237650"/>
    <w:rsid w:val="00240BEE"/>
    <w:rsid w:val="00242487"/>
    <w:rsid w:val="00243EA8"/>
    <w:rsid w:val="0024401C"/>
    <w:rsid w:val="00246AE9"/>
    <w:rsid w:val="0025165B"/>
    <w:rsid w:val="002518A6"/>
    <w:rsid w:val="00253052"/>
    <w:rsid w:val="00254108"/>
    <w:rsid w:val="002643D1"/>
    <w:rsid w:val="00265DDB"/>
    <w:rsid w:val="0027209D"/>
    <w:rsid w:val="00272942"/>
    <w:rsid w:val="00280829"/>
    <w:rsid w:val="0028123F"/>
    <w:rsid w:val="00281374"/>
    <w:rsid w:val="0028270A"/>
    <w:rsid w:val="00290B0B"/>
    <w:rsid w:val="002A46C3"/>
    <w:rsid w:val="002A54BA"/>
    <w:rsid w:val="002A59C7"/>
    <w:rsid w:val="002B7DE6"/>
    <w:rsid w:val="002C021F"/>
    <w:rsid w:val="002C1F36"/>
    <w:rsid w:val="002C48BB"/>
    <w:rsid w:val="002D0833"/>
    <w:rsid w:val="002D3FD8"/>
    <w:rsid w:val="002D5CD8"/>
    <w:rsid w:val="002D670D"/>
    <w:rsid w:val="002D7AE1"/>
    <w:rsid w:val="002E11A2"/>
    <w:rsid w:val="002E142F"/>
    <w:rsid w:val="002E1831"/>
    <w:rsid w:val="002E48D5"/>
    <w:rsid w:val="002F046D"/>
    <w:rsid w:val="002F2AB8"/>
    <w:rsid w:val="00302A11"/>
    <w:rsid w:val="0030365B"/>
    <w:rsid w:val="00310D60"/>
    <w:rsid w:val="0031665B"/>
    <w:rsid w:val="003205F5"/>
    <w:rsid w:val="00323989"/>
    <w:rsid w:val="00325309"/>
    <w:rsid w:val="0032546E"/>
    <w:rsid w:val="00325BE3"/>
    <w:rsid w:val="00326FF2"/>
    <w:rsid w:val="003377B5"/>
    <w:rsid w:val="003445FD"/>
    <w:rsid w:val="003471FA"/>
    <w:rsid w:val="0035080A"/>
    <w:rsid w:val="00351713"/>
    <w:rsid w:val="003541AA"/>
    <w:rsid w:val="00356178"/>
    <w:rsid w:val="00363635"/>
    <w:rsid w:val="0037228A"/>
    <w:rsid w:val="0037592E"/>
    <w:rsid w:val="00384BDB"/>
    <w:rsid w:val="00384BE4"/>
    <w:rsid w:val="00393A4E"/>
    <w:rsid w:val="003B0EB6"/>
    <w:rsid w:val="003B71E1"/>
    <w:rsid w:val="003B75AC"/>
    <w:rsid w:val="003C57FB"/>
    <w:rsid w:val="003C6056"/>
    <w:rsid w:val="003D24CC"/>
    <w:rsid w:val="003E08A6"/>
    <w:rsid w:val="003E2047"/>
    <w:rsid w:val="004009B8"/>
    <w:rsid w:val="0040385B"/>
    <w:rsid w:val="00405C5A"/>
    <w:rsid w:val="00407A0A"/>
    <w:rsid w:val="00416BC8"/>
    <w:rsid w:val="00421FE0"/>
    <w:rsid w:val="004324B4"/>
    <w:rsid w:val="0043302E"/>
    <w:rsid w:val="00435BE3"/>
    <w:rsid w:val="0044224E"/>
    <w:rsid w:val="00447AFA"/>
    <w:rsid w:val="00453779"/>
    <w:rsid w:val="00454EB5"/>
    <w:rsid w:val="00457213"/>
    <w:rsid w:val="00460F39"/>
    <w:rsid w:val="00461047"/>
    <w:rsid w:val="0046439F"/>
    <w:rsid w:val="00464E61"/>
    <w:rsid w:val="004705E9"/>
    <w:rsid w:val="0047144A"/>
    <w:rsid w:val="004733AB"/>
    <w:rsid w:val="00475988"/>
    <w:rsid w:val="00475CED"/>
    <w:rsid w:val="00476386"/>
    <w:rsid w:val="00490483"/>
    <w:rsid w:val="004928FD"/>
    <w:rsid w:val="00493520"/>
    <w:rsid w:val="004A1462"/>
    <w:rsid w:val="004A4216"/>
    <w:rsid w:val="004C22B4"/>
    <w:rsid w:val="004D0271"/>
    <w:rsid w:val="004D1B4E"/>
    <w:rsid w:val="004D7650"/>
    <w:rsid w:val="004E2CC4"/>
    <w:rsid w:val="004E4C7B"/>
    <w:rsid w:val="004F060A"/>
    <w:rsid w:val="004F55BB"/>
    <w:rsid w:val="005073A3"/>
    <w:rsid w:val="005147D2"/>
    <w:rsid w:val="00515728"/>
    <w:rsid w:val="00515F4A"/>
    <w:rsid w:val="005230DE"/>
    <w:rsid w:val="00523636"/>
    <w:rsid w:val="00527B15"/>
    <w:rsid w:val="00545DC6"/>
    <w:rsid w:val="00560F8A"/>
    <w:rsid w:val="00565607"/>
    <w:rsid w:val="00566766"/>
    <w:rsid w:val="00567A3B"/>
    <w:rsid w:val="005718B0"/>
    <w:rsid w:val="00583FF7"/>
    <w:rsid w:val="005849EC"/>
    <w:rsid w:val="00593416"/>
    <w:rsid w:val="00597E5C"/>
    <w:rsid w:val="005A4708"/>
    <w:rsid w:val="005A6649"/>
    <w:rsid w:val="005A72EF"/>
    <w:rsid w:val="005B176F"/>
    <w:rsid w:val="005B2413"/>
    <w:rsid w:val="005B5CE5"/>
    <w:rsid w:val="005C1ACC"/>
    <w:rsid w:val="005D1243"/>
    <w:rsid w:val="005D655A"/>
    <w:rsid w:val="005D7188"/>
    <w:rsid w:val="005E3614"/>
    <w:rsid w:val="005F6E85"/>
    <w:rsid w:val="005F7FD7"/>
    <w:rsid w:val="0060259D"/>
    <w:rsid w:val="00607494"/>
    <w:rsid w:val="006139FC"/>
    <w:rsid w:val="0061619D"/>
    <w:rsid w:val="0062152B"/>
    <w:rsid w:val="00631A6F"/>
    <w:rsid w:val="00633B48"/>
    <w:rsid w:val="006467EB"/>
    <w:rsid w:val="00655934"/>
    <w:rsid w:val="00657A75"/>
    <w:rsid w:val="006615D5"/>
    <w:rsid w:val="00662904"/>
    <w:rsid w:val="0066543F"/>
    <w:rsid w:val="00667C9C"/>
    <w:rsid w:val="006750CC"/>
    <w:rsid w:val="006831A8"/>
    <w:rsid w:val="00685C94"/>
    <w:rsid w:val="00691A3D"/>
    <w:rsid w:val="00696CF9"/>
    <w:rsid w:val="006A00A7"/>
    <w:rsid w:val="006A6523"/>
    <w:rsid w:val="006B0DB2"/>
    <w:rsid w:val="006B609B"/>
    <w:rsid w:val="006B717D"/>
    <w:rsid w:val="006C3106"/>
    <w:rsid w:val="006D20B9"/>
    <w:rsid w:val="006D60D1"/>
    <w:rsid w:val="006F2DC0"/>
    <w:rsid w:val="006F4D3D"/>
    <w:rsid w:val="006F7D07"/>
    <w:rsid w:val="0070250E"/>
    <w:rsid w:val="00704B7E"/>
    <w:rsid w:val="00714F81"/>
    <w:rsid w:val="00716131"/>
    <w:rsid w:val="007258A8"/>
    <w:rsid w:val="007306B4"/>
    <w:rsid w:val="00733AE3"/>
    <w:rsid w:val="00734A1C"/>
    <w:rsid w:val="00735B3E"/>
    <w:rsid w:val="00740461"/>
    <w:rsid w:val="007411AC"/>
    <w:rsid w:val="007450F8"/>
    <w:rsid w:val="007516A2"/>
    <w:rsid w:val="007519DC"/>
    <w:rsid w:val="00756D13"/>
    <w:rsid w:val="00761075"/>
    <w:rsid w:val="0076276D"/>
    <w:rsid w:val="00763812"/>
    <w:rsid w:val="00765D67"/>
    <w:rsid w:val="00766F56"/>
    <w:rsid w:val="00774A51"/>
    <w:rsid w:val="00780EDC"/>
    <w:rsid w:val="00783576"/>
    <w:rsid w:val="00783AC6"/>
    <w:rsid w:val="00784156"/>
    <w:rsid w:val="007859D9"/>
    <w:rsid w:val="00787BA4"/>
    <w:rsid w:val="00792B49"/>
    <w:rsid w:val="00796663"/>
    <w:rsid w:val="007B342B"/>
    <w:rsid w:val="007B389D"/>
    <w:rsid w:val="007B63B9"/>
    <w:rsid w:val="007E27F7"/>
    <w:rsid w:val="007E3F72"/>
    <w:rsid w:val="007E4F09"/>
    <w:rsid w:val="007E522E"/>
    <w:rsid w:val="007F0E1A"/>
    <w:rsid w:val="007F492B"/>
    <w:rsid w:val="007F5D3C"/>
    <w:rsid w:val="00800232"/>
    <w:rsid w:val="008031D9"/>
    <w:rsid w:val="00803365"/>
    <w:rsid w:val="00805E30"/>
    <w:rsid w:val="0080687A"/>
    <w:rsid w:val="0080755A"/>
    <w:rsid w:val="00834E98"/>
    <w:rsid w:val="0083729E"/>
    <w:rsid w:val="00842354"/>
    <w:rsid w:val="00843E43"/>
    <w:rsid w:val="00844457"/>
    <w:rsid w:val="00844682"/>
    <w:rsid w:val="008512EA"/>
    <w:rsid w:val="008577B9"/>
    <w:rsid w:val="00857DED"/>
    <w:rsid w:val="00864203"/>
    <w:rsid w:val="00896BB4"/>
    <w:rsid w:val="00897605"/>
    <w:rsid w:val="008A64F1"/>
    <w:rsid w:val="008B2B78"/>
    <w:rsid w:val="008B4220"/>
    <w:rsid w:val="008B7539"/>
    <w:rsid w:val="008C7495"/>
    <w:rsid w:val="008D040B"/>
    <w:rsid w:val="008D7F38"/>
    <w:rsid w:val="008E2603"/>
    <w:rsid w:val="008E67F6"/>
    <w:rsid w:val="008F37E9"/>
    <w:rsid w:val="00910508"/>
    <w:rsid w:val="009212CC"/>
    <w:rsid w:val="00922FE3"/>
    <w:rsid w:val="009234B8"/>
    <w:rsid w:val="00933CDB"/>
    <w:rsid w:val="009355DD"/>
    <w:rsid w:val="00942C42"/>
    <w:rsid w:val="00960B69"/>
    <w:rsid w:val="00961104"/>
    <w:rsid w:val="00962C8F"/>
    <w:rsid w:val="00963880"/>
    <w:rsid w:val="009708C6"/>
    <w:rsid w:val="00975CC7"/>
    <w:rsid w:val="00983D2D"/>
    <w:rsid w:val="0098501D"/>
    <w:rsid w:val="009A1195"/>
    <w:rsid w:val="009A66CF"/>
    <w:rsid w:val="009C4D8C"/>
    <w:rsid w:val="009D2810"/>
    <w:rsid w:val="009D3B45"/>
    <w:rsid w:val="009D4559"/>
    <w:rsid w:val="009D5593"/>
    <w:rsid w:val="009D6FAF"/>
    <w:rsid w:val="009D718D"/>
    <w:rsid w:val="009D71FD"/>
    <w:rsid w:val="009E0DD1"/>
    <w:rsid w:val="009E343B"/>
    <w:rsid w:val="009F557E"/>
    <w:rsid w:val="00A016E2"/>
    <w:rsid w:val="00A11635"/>
    <w:rsid w:val="00A11C17"/>
    <w:rsid w:val="00A130E5"/>
    <w:rsid w:val="00A137ED"/>
    <w:rsid w:val="00A147F8"/>
    <w:rsid w:val="00A154AC"/>
    <w:rsid w:val="00A2390B"/>
    <w:rsid w:val="00A25F16"/>
    <w:rsid w:val="00A3349B"/>
    <w:rsid w:val="00A37132"/>
    <w:rsid w:val="00A408CE"/>
    <w:rsid w:val="00A4238B"/>
    <w:rsid w:val="00A4741C"/>
    <w:rsid w:val="00A56674"/>
    <w:rsid w:val="00A6292A"/>
    <w:rsid w:val="00A679D6"/>
    <w:rsid w:val="00A729D9"/>
    <w:rsid w:val="00A73559"/>
    <w:rsid w:val="00A8715A"/>
    <w:rsid w:val="00A9016F"/>
    <w:rsid w:val="00A91711"/>
    <w:rsid w:val="00A9426A"/>
    <w:rsid w:val="00A95B49"/>
    <w:rsid w:val="00AA754A"/>
    <w:rsid w:val="00AA78C6"/>
    <w:rsid w:val="00AB0D3D"/>
    <w:rsid w:val="00AB1D5A"/>
    <w:rsid w:val="00AB3609"/>
    <w:rsid w:val="00AC2BD1"/>
    <w:rsid w:val="00AC4A3F"/>
    <w:rsid w:val="00AD125A"/>
    <w:rsid w:val="00AD1802"/>
    <w:rsid w:val="00AD505D"/>
    <w:rsid w:val="00AD7D6E"/>
    <w:rsid w:val="00AE1B92"/>
    <w:rsid w:val="00AE4E0E"/>
    <w:rsid w:val="00AF4834"/>
    <w:rsid w:val="00AF4EB1"/>
    <w:rsid w:val="00B03EEA"/>
    <w:rsid w:val="00B03FC8"/>
    <w:rsid w:val="00B03FEB"/>
    <w:rsid w:val="00B04305"/>
    <w:rsid w:val="00B11D05"/>
    <w:rsid w:val="00B154DF"/>
    <w:rsid w:val="00B16681"/>
    <w:rsid w:val="00B2089E"/>
    <w:rsid w:val="00B217EA"/>
    <w:rsid w:val="00B21E4A"/>
    <w:rsid w:val="00B239A8"/>
    <w:rsid w:val="00B25F5C"/>
    <w:rsid w:val="00B30350"/>
    <w:rsid w:val="00B341F7"/>
    <w:rsid w:val="00B41E36"/>
    <w:rsid w:val="00B43585"/>
    <w:rsid w:val="00B43BC1"/>
    <w:rsid w:val="00B44964"/>
    <w:rsid w:val="00B50D5E"/>
    <w:rsid w:val="00B550EE"/>
    <w:rsid w:val="00B604A0"/>
    <w:rsid w:val="00B6077F"/>
    <w:rsid w:val="00B65CF5"/>
    <w:rsid w:val="00B70A42"/>
    <w:rsid w:val="00B7203A"/>
    <w:rsid w:val="00B773A5"/>
    <w:rsid w:val="00B82EC1"/>
    <w:rsid w:val="00B85661"/>
    <w:rsid w:val="00B86354"/>
    <w:rsid w:val="00B87C1C"/>
    <w:rsid w:val="00B93641"/>
    <w:rsid w:val="00B97875"/>
    <w:rsid w:val="00BB12FD"/>
    <w:rsid w:val="00BB7460"/>
    <w:rsid w:val="00BC0188"/>
    <w:rsid w:val="00BD115A"/>
    <w:rsid w:val="00BD44F4"/>
    <w:rsid w:val="00BD742C"/>
    <w:rsid w:val="00BE0B3C"/>
    <w:rsid w:val="00BF0BC2"/>
    <w:rsid w:val="00BF389E"/>
    <w:rsid w:val="00BF7BE0"/>
    <w:rsid w:val="00C04505"/>
    <w:rsid w:val="00C04E63"/>
    <w:rsid w:val="00C12843"/>
    <w:rsid w:val="00C16CF5"/>
    <w:rsid w:val="00C17F29"/>
    <w:rsid w:val="00C203E1"/>
    <w:rsid w:val="00C24A67"/>
    <w:rsid w:val="00C254F0"/>
    <w:rsid w:val="00C255F9"/>
    <w:rsid w:val="00C26CAD"/>
    <w:rsid w:val="00C276AA"/>
    <w:rsid w:val="00C324DF"/>
    <w:rsid w:val="00C344CF"/>
    <w:rsid w:val="00C36B90"/>
    <w:rsid w:val="00C41F2B"/>
    <w:rsid w:val="00C4634F"/>
    <w:rsid w:val="00C639F7"/>
    <w:rsid w:val="00C63F78"/>
    <w:rsid w:val="00C7724A"/>
    <w:rsid w:val="00C8635B"/>
    <w:rsid w:val="00C866F1"/>
    <w:rsid w:val="00C9482B"/>
    <w:rsid w:val="00C969AD"/>
    <w:rsid w:val="00C9747D"/>
    <w:rsid w:val="00CA1813"/>
    <w:rsid w:val="00CA3ACE"/>
    <w:rsid w:val="00CA7AF5"/>
    <w:rsid w:val="00CB2477"/>
    <w:rsid w:val="00CB3E4B"/>
    <w:rsid w:val="00CB4100"/>
    <w:rsid w:val="00CB46AB"/>
    <w:rsid w:val="00CB47C6"/>
    <w:rsid w:val="00CB651C"/>
    <w:rsid w:val="00CC045E"/>
    <w:rsid w:val="00CC3D6D"/>
    <w:rsid w:val="00CC4901"/>
    <w:rsid w:val="00CD3D8F"/>
    <w:rsid w:val="00CE11B6"/>
    <w:rsid w:val="00CF0580"/>
    <w:rsid w:val="00CF24AE"/>
    <w:rsid w:val="00CF31AB"/>
    <w:rsid w:val="00CF4CB4"/>
    <w:rsid w:val="00D0753E"/>
    <w:rsid w:val="00D1243B"/>
    <w:rsid w:val="00D31603"/>
    <w:rsid w:val="00D329EC"/>
    <w:rsid w:val="00D3344A"/>
    <w:rsid w:val="00D36CBF"/>
    <w:rsid w:val="00D452FF"/>
    <w:rsid w:val="00D4573E"/>
    <w:rsid w:val="00D51FEE"/>
    <w:rsid w:val="00D65F41"/>
    <w:rsid w:val="00D7141B"/>
    <w:rsid w:val="00D725AE"/>
    <w:rsid w:val="00D76C53"/>
    <w:rsid w:val="00D81CC8"/>
    <w:rsid w:val="00D82B18"/>
    <w:rsid w:val="00D954E8"/>
    <w:rsid w:val="00D95D80"/>
    <w:rsid w:val="00DB09E9"/>
    <w:rsid w:val="00DB3318"/>
    <w:rsid w:val="00DD0EEA"/>
    <w:rsid w:val="00DD32AC"/>
    <w:rsid w:val="00DE03EB"/>
    <w:rsid w:val="00DE0ACA"/>
    <w:rsid w:val="00DE1BA2"/>
    <w:rsid w:val="00DF4B3F"/>
    <w:rsid w:val="00DF7872"/>
    <w:rsid w:val="00E050CC"/>
    <w:rsid w:val="00E104C4"/>
    <w:rsid w:val="00E108D3"/>
    <w:rsid w:val="00E11B1F"/>
    <w:rsid w:val="00E12FB3"/>
    <w:rsid w:val="00E14FBC"/>
    <w:rsid w:val="00E16988"/>
    <w:rsid w:val="00E16E9F"/>
    <w:rsid w:val="00E21DE4"/>
    <w:rsid w:val="00E3179F"/>
    <w:rsid w:val="00E327A3"/>
    <w:rsid w:val="00E44AB3"/>
    <w:rsid w:val="00E52D0F"/>
    <w:rsid w:val="00E5332F"/>
    <w:rsid w:val="00E540EC"/>
    <w:rsid w:val="00E54B94"/>
    <w:rsid w:val="00E60AE8"/>
    <w:rsid w:val="00E63EF4"/>
    <w:rsid w:val="00E64083"/>
    <w:rsid w:val="00E6564D"/>
    <w:rsid w:val="00E65EA6"/>
    <w:rsid w:val="00E668CC"/>
    <w:rsid w:val="00E70D33"/>
    <w:rsid w:val="00E75CB9"/>
    <w:rsid w:val="00E767B4"/>
    <w:rsid w:val="00E77840"/>
    <w:rsid w:val="00E84C1D"/>
    <w:rsid w:val="00E84E78"/>
    <w:rsid w:val="00E8687D"/>
    <w:rsid w:val="00E9162F"/>
    <w:rsid w:val="00E916CE"/>
    <w:rsid w:val="00E93466"/>
    <w:rsid w:val="00EA4477"/>
    <w:rsid w:val="00EA4B7D"/>
    <w:rsid w:val="00EA522F"/>
    <w:rsid w:val="00EA7BCD"/>
    <w:rsid w:val="00EB068C"/>
    <w:rsid w:val="00EB4F8F"/>
    <w:rsid w:val="00EB5925"/>
    <w:rsid w:val="00EC4F03"/>
    <w:rsid w:val="00EE0DE2"/>
    <w:rsid w:val="00EE385B"/>
    <w:rsid w:val="00EE3DB6"/>
    <w:rsid w:val="00EE565D"/>
    <w:rsid w:val="00EF154E"/>
    <w:rsid w:val="00EF26F3"/>
    <w:rsid w:val="00EF7CEC"/>
    <w:rsid w:val="00F01E6E"/>
    <w:rsid w:val="00F057E5"/>
    <w:rsid w:val="00F074A0"/>
    <w:rsid w:val="00F110F5"/>
    <w:rsid w:val="00F218E4"/>
    <w:rsid w:val="00F262EB"/>
    <w:rsid w:val="00F321CC"/>
    <w:rsid w:val="00F3317A"/>
    <w:rsid w:val="00F33636"/>
    <w:rsid w:val="00F33921"/>
    <w:rsid w:val="00F3420B"/>
    <w:rsid w:val="00F34CDB"/>
    <w:rsid w:val="00F3522B"/>
    <w:rsid w:val="00F36ED0"/>
    <w:rsid w:val="00F45C98"/>
    <w:rsid w:val="00F4655F"/>
    <w:rsid w:val="00F61ADC"/>
    <w:rsid w:val="00F64E0B"/>
    <w:rsid w:val="00F66226"/>
    <w:rsid w:val="00F725F3"/>
    <w:rsid w:val="00F767E4"/>
    <w:rsid w:val="00F8024D"/>
    <w:rsid w:val="00F82F07"/>
    <w:rsid w:val="00F87BDE"/>
    <w:rsid w:val="00F91FB4"/>
    <w:rsid w:val="00FA0502"/>
    <w:rsid w:val="00FA2098"/>
    <w:rsid w:val="00FA24C1"/>
    <w:rsid w:val="00FA585E"/>
    <w:rsid w:val="00FB2C3C"/>
    <w:rsid w:val="00FB5660"/>
    <w:rsid w:val="00FC1893"/>
    <w:rsid w:val="00FC276A"/>
    <w:rsid w:val="00FD010F"/>
    <w:rsid w:val="00FD2988"/>
    <w:rsid w:val="00FD53F1"/>
    <w:rsid w:val="00FD6178"/>
    <w:rsid w:val="00FE33C9"/>
    <w:rsid w:val="00FF2BB6"/>
    <w:rsid w:val="00FF7605"/>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F43DCC"/>
  <w15:chartTrackingRefBased/>
  <w15:docId w15:val="{4DE8280B-4A97-473E-80D4-7DF0AB577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BEE"/>
    <w:pPr>
      <w:spacing w:after="200" w:line="276" w:lineRule="auto"/>
    </w:pPr>
    <w:rPr>
      <w:rFonts w:cs="Calibri"/>
      <w:sz w:val="22"/>
      <w:szCs w:val="22"/>
      <w:lang w:val="en-US" w:eastAsia="en-US"/>
    </w:rPr>
  </w:style>
  <w:style w:type="paragraph" w:styleId="Heading2">
    <w:name w:val="heading 2"/>
    <w:basedOn w:val="Normal"/>
    <w:next w:val="Normal"/>
    <w:link w:val="Heading2Char"/>
    <w:uiPriority w:val="99"/>
    <w:qFormat/>
    <w:rsid w:val="00AB3609"/>
    <w:pPr>
      <w:keepNext/>
      <w:spacing w:before="240" w:after="60"/>
      <w:outlineLvl w:val="1"/>
    </w:pPr>
    <w:rPr>
      <w:rFonts w:ascii="Cambria" w:eastAsia="Times New Roman" w:hAnsi="Cambria" w:cs="Cambria"/>
      <w:b/>
      <w:bCs/>
      <w:i/>
      <w:iCs/>
      <w:sz w:val="28"/>
      <w:szCs w:val="28"/>
    </w:rPr>
  </w:style>
  <w:style w:type="paragraph" w:styleId="Heading3">
    <w:name w:val="heading 3"/>
    <w:basedOn w:val="Normal"/>
    <w:next w:val="Normal"/>
    <w:link w:val="Heading3Char"/>
    <w:uiPriority w:val="99"/>
    <w:qFormat/>
    <w:rsid w:val="00EE0DE2"/>
    <w:pPr>
      <w:keepNext/>
      <w:spacing w:after="0" w:line="240" w:lineRule="auto"/>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AB3609"/>
    <w:rPr>
      <w:rFonts w:ascii="Cambria" w:hAnsi="Cambria" w:cs="Cambria"/>
      <w:b/>
      <w:bCs/>
      <w:i/>
      <w:iCs/>
      <w:sz w:val="28"/>
      <w:szCs w:val="28"/>
    </w:rPr>
  </w:style>
  <w:style w:type="character" w:customStyle="1" w:styleId="Heading3Char">
    <w:name w:val="Heading 3 Char"/>
    <w:link w:val="Heading3"/>
    <w:uiPriority w:val="99"/>
    <w:locked/>
    <w:rsid w:val="00EE0DE2"/>
    <w:rPr>
      <w:rFonts w:ascii="Times New Roman" w:hAnsi="Times New Roman" w:cs="Times New Roman"/>
      <w:b/>
      <w:bCs/>
      <w:sz w:val="24"/>
      <w:szCs w:val="24"/>
    </w:rPr>
  </w:style>
  <w:style w:type="paragraph" w:styleId="BalloonText">
    <w:name w:val="Balloon Text"/>
    <w:basedOn w:val="Normal"/>
    <w:link w:val="BalloonTextChar"/>
    <w:uiPriority w:val="99"/>
    <w:semiHidden/>
    <w:rsid w:val="000871C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871CD"/>
    <w:rPr>
      <w:rFonts w:ascii="Tahoma" w:hAnsi="Tahoma" w:cs="Tahoma"/>
      <w:sz w:val="16"/>
      <w:szCs w:val="16"/>
    </w:rPr>
  </w:style>
  <w:style w:type="paragraph" w:styleId="PlainText">
    <w:name w:val="Plain Text"/>
    <w:basedOn w:val="Normal"/>
    <w:link w:val="PlainTextChar"/>
    <w:uiPriority w:val="99"/>
    <w:rsid w:val="000871CD"/>
    <w:pPr>
      <w:spacing w:after="0" w:line="240" w:lineRule="auto"/>
    </w:pPr>
    <w:rPr>
      <w:rFonts w:ascii="Courier" w:hAnsi="Courier" w:cs="Courier"/>
      <w:sz w:val="21"/>
      <w:szCs w:val="21"/>
    </w:rPr>
  </w:style>
  <w:style w:type="character" w:customStyle="1" w:styleId="PlainTextChar">
    <w:name w:val="Plain Text Char"/>
    <w:link w:val="PlainText"/>
    <w:uiPriority w:val="99"/>
    <w:locked/>
    <w:rsid w:val="000871CD"/>
    <w:rPr>
      <w:rFonts w:ascii="Courier" w:eastAsia="Times New Roman" w:hAnsi="Courier" w:cs="Courier"/>
      <w:sz w:val="21"/>
      <w:szCs w:val="21"/>
    </w:rPr>
  </w:style>
  <w:style w:type="paragraph" w:styleId="Header">
    <w:name w:val="header"/>
    <w:basedOn w:val="Normal"/>
    <w:link w:val="HeaderChar"/>
    <w:uiPriority w:val="99"/>
    <w:rsid w:val="000871C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871CD"/>
  </w:style>
  <w:style w:type="paragraph" w:styleId="Footer">
    <w:name w:val="footer"/>
    <w:basedOn w:val="Normal"/>
    <w:link w:val="FooterChar"/>
    <w:uiPriority w:val="99"/>
    <w:rsid w:val="000871C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871CD"/>
  </w:style>
  <w:style w:type="paragraph" w:styleId="Title">
    <w:name w:val="Title"/>
    <w:basedOn w:val="Normal"/>
    <w:link w:val="TitleChar"/>
    <w:uiPriority w:val="99"/>
    <w:qFormat/>
    <w:rsid w:val="00B03FC8"/>
    <w:pPr>
      <w:spacing w:after="0" w:line="240" w:lineRule="auto"/>
      <w:jc w:val="center"/>
    </w:pPr>
    <w:rPr>
      <w:rFonts w:ascii="Times New Roman" w:eastAsia="Times New Roman" w:hAnsi="Times New Roman" w:cs="Times New Roman"/>
      <w:sz w:val="24"/>
      <w:szCs w:val="24"/>
    </w:rPr>
  </w:style>
  <w:style w:type="character" w:customStyle="1" w:styleId="TitleChar">
    <w:name w:val="Title Char"/>
    <w:link w:val="Title"/>
    <w:uiPriority w:val="99"/>
    <w:locked/>
    <w:rsid w:val="00B03FC8"/>
    <w:rPr>
      <w:rFonts w:ascii="Times New Roman" w:hAnsi="Times New Roman" w:cs="Times New Roman"/>
      <w:sz w:val="24"/>
      <w:szCs w:val="24"/>
    </w:rPr>
  </w:style>
  <w:style w:type="character" w:styleId="CommentReference">
    <w:name w:val="annotation reference"/>
    <w:uiPriority w:val="99"/>
    <w:semiHidden/>
    <w:rsid w:val="00657A75"/>
    <w:rPr>
      <w:sz w:val="16"/>
      <w:szCs w:val="16"/>
    </w:rPr>
  </w:style>
  <w:style w:type="paragraph" w:styleId="CommentText">
    <w:name w:val="annotation text"/>
    <w:basedOn w:val="Normal"/>
    <w:link w:val="CommentTextChar"/>
    <w:uiPriority w:val="99"/>
    <w:semiHidden/>
    <w:rsid w:val="00657A75"/>
    <w:rPr>
      <w:sz w:val="20"/>
      <w:szCs w:val="20"/>
    </w:rPr>
  </w:style>
  <w:style w:type="character" w:customStyle="1" w:styleId="CommentTextChar">
    <w:name w:val="Comment Text Char"/>
    <w:link w:val="CommentText"/>
    <w:uiPriority w:val="99"/>
    <w:semiHidden/>
    <w:locked/>
    <w:rsid w:val="00657A75"/>
    <w:rPr>
      <w:lang w:val="en-US" w:eastAsia="en-US"/>
    </w:rPr>
  </w:style>
  <w:style w:type="paragraph" w:styleId="CommentSubject">
    <w:name w:val="annotation subject"/>
    <w:basedOn w:val="CommentText"/>
    <w:next w:val="CommentText"/>
    <w:link w:val="CommentSubjectChar"/>
    <w:uiPriority w:val="99"/>
    <w:semiHidden/>
    <w:rsid w:val="00657A75"/>
    <w:rPr>
      <w:b/>
      <w:bCs/>
    </w:rPr>
  </w:style>
  <w:style w:type="character" w:customStyle="1" w:styleId="CommentSubjectChar">
    <w:name w:val="Comment Subject Char"/>
    <w:link w:val="CommentSubject"/>
    <w:uiPriority w:val="99"/>
    <w:semiHidden/>
    <w:locked/>
    <w:rsid w:val="00657A75"/>
    <w:rPr>
      <w:b/>
      <w:bCs/>
      <w:lang w:val="en-US" w:eastAsia="en-US"/>
    </w:rPr>
  </w:style>
  <w:style w:type="paragraph" w:styleId="Revision">
    <w:name w:val="Revision"/>
    <w:hidden/>
    <w:uiPriority w:val="99"/>
    <w:semiHidden/>
    <w:rsid w:val="00657A75"/>
    <w:rPr>
      <w:rFonts w:cs="Calibri"/>
      <w:sz w:val="22"/>
      <w:szCs w:val="22"/>
      <w:lang w:val="en-US" w:eastAsia="en-US"/>
    </w:rPr>
  </w:style>
  <w:style w:type="character" w:styleId="Hyperlink">
    <w:name w:val="Hyperlink"/>
    <w:uiPriority w:val="99"/>
    <w:rsid w:val="00AB3609"/>
    <w:rPr>
      <w:color w:val="0000FF"/>
      <w:u w:val="single"/>
    </w:rPr>
  </w:style>
  <w:style w:type="paragraph" w:customStyle="1" w:styleId="CM1">
    <w:name w:val="CM1"/>
    <w:basedOn w:val="Normal"/>
    <w:next w:val="Normal"/>
    <w:uiPriority w:val="99"/>
    <w:rsid w:val="00AB3609"/>
    <w:pPr>
      <w:autoSpaceDE w:val="0"/>
      <w:autoSpaceDN w:val="0"/>
      <w:adjustRightInd w:val="0"/>
      <w:spacing w:after="0" w:line="276" w:lineRule="atLeast"/>
    </w:pPr>
    <w:rPr>
      <w:rFonts w:ascii="Times New Roman" w:eastAsia="MS Mincho" w:hAnsi="Times New Roman" w:cs="Times New Roman"/>
      <w:sz w:val="24"/>
      <w:szCs w:val="24"/>
    </w:rPr>
  </w:style>
  <w:style w:type="character" w:styleId="Emphasis">
    <w:name w:val="Emphasis"/>
    <w:uiPriority w:val="99"/>
    <w:qFormat/>
    <w:rsid w:val="00AB3609"/>
    <w:rPr>
      <w:i/>
      <w:iCs/>
    </w:rPr>
  </w:style>
  <w:style w:type="character" w:customStyle="1" w:styleId="apple-style-span">
    <w:name w:val="apple-style-span"/>
    <w:basedOn w:val="DefaultParagraphFont"/>
    <w:uiPriority w:val="99"/>
    <w:rsid w:val="00AB3609"/>
  </w:style>
  <w:style w:type="character" w:customStyle="1" w:styleId="apple-converted-space">
    <w:name w:val="apple-converted-space"/>
    <w:basedOn w:val="DefaultParagraphFont"/>
    <w:uiPriority w:val="99"/>
    <w:rsid w:val="00AB3609"/>
  </w:style>
  <w:style w:type="paragraph" w:customStyle="1" w:styleId="Text">
    <w:name w:val="Text"/>
    <w:basedOn w:val="Normal"/>
    <w:uiPriority w:val="99"/>
    <w:rsid w:val="00AB3609"/>
    <w:pPr>
      <w:widowControl w:val="0"/>
      <w:autoSpaceDE w:val="0"/>
      <w:autoSpaceDN w:val="0"/>
      <w:spacing w:after="0" w:line="252" w:lineRule="auto"/>
      <w:ind w:firstLine="202"/>
      <w:jc w:val="both"/>
    </w:pPr>
    <w:rPr>
      <w:rFonts w:ascii="Times New Roman" w:eastAsia="MS Mincho" w:hAnsi="Times New Roman" w:cs="Times New Roman"/>
      <w:sz w:val="20"/>
      <w:szCs w:val="20"/>
    </w:rPr>
  </w:style>
  <w:style w:type="paragraph" w:styleId="BodyText2">
    <w:name w:val="Body Text 2"/>
    <w:basedOn w:val="Normal"/>
    <w:link w:val="BodyText2Char"/>
    <w:uiPriority w:val="99"/>
    <w:rsid w:val="00633B48"/>
    <w:pPr>
      <w:tabs>
        <w:tab w:val="left" w:pos="340"/>
      </w:tabs>
      <w:spacing w:after="0" w:line="240" w:lineRule="auto"/>
      <w:jc w:val="both"/>
    </w:pPr>
    <w:rPr>
      <w:rFonts w:ascii="Times New Roman" w:eastAsia="MS Mincho" w:hAnsi="Times New Roman" w:cs="Times New Roman"/>
      <w:sz w:val="20"/>
      <w:szCs w:val="20"/>
    </w:rPr>
  </w:style>
  <w:style w:type="character" w:customStyle="1" w:styleId="BodyText2Char">
    <w:name w:val="Body Text 2 Char"/>
    <w:link w:val="BodyText2"/>
    <w:uiPriority w:val="99"/>
    <w:locked/>
    <w:rsid w:val="00633B48"/>
    <w:rPr>
      <w:rFonts w:ascii="Times New Roman" w:eastAsia="MS Mincho" w:hAnsi="Times New Roman" w:cs="Times New Roman"/>
      <w:snapToGrid w:val="0"/>
    </w:rPr>
  </w:style>
  <w:style w:type="paragraph" w:styleId="BodyTextIndent">
    <w:name w:val="Body Text Indent"/>
    <w:basedOn w:val="Normal"/>
    <w:link w:val="BodyTextIndentChar"/>
    <w:uiPriority w:val="99"/>
    <w:semiHidden/>
    <w:rsid w:val="001F563A"/>
    <w:pPr>
      <w:spacing w:after="120"/>
      <w:ind w:left="360"/>
    </w:pPr>
  </w:style>
  <w:style w:type="character" w:customStyle="1" w:styleId="BodyTextIndentChar">
    <w:name w:val="Body Text Indent Char"/>
    <w:link w:val="BodyTextIndent"/>
    <w:uiPriority w:val="99"/>
    <w:semiHidden/>
    <w:locked/>
    <w:rsid w:val="001F563A"/>
    <w:rPr>
      <w:sz w:val="22"/>
      <w:szCs w:val="22"/>
    </w:rPr>
  </w:style>
  <w:style w:type="character" w:customStyle="1" w:styleId="longtext">
    <w:name w:val="long_text"/>
    <w:basedOn w:val="DefaultParagraphFont"/>
    <w:uiPriority w:val="99"/>
    <w:rsid w:val="00CD3D8F"/>
  </w:style>
  <w:style w:type="paragraph" w:styleId="ListParagraph">
    <w:name w:val="List Paragraph"/>
    <w:basedOn w:val="Normal"/>
    <w:uiPriority w:val="99"/>
    <w:qFormat/>
    <w:rsid w:val="00CD3D8F"/>
    <w:pPr>
      <w:spacing w:after="0" w:line="240" w:lineRule="auto"/>
      <w:ind w:left="720"/>
    </w:pPr>
    <w:rPr>
      <w:rFonts w:ascii="Times New Roman" w:eastAsia="Times New Roman" w:hAnsi="Times New Roman" w:cs="Times New Roman"/>
      <w:sz w:val="24"/>
      <w:szCs w:val="24"/>
    </w:rPr>
  </w:style>
  <w:style w:type="character" w:customStyle="1" w:styleId="hps">
    <w:name w:val="hps"/>
    <w:basedOn w:val="DefaultParagraphFont"/>
    <w:rsid w:val="00CD3D8F"/>
  </w:style>
  <w:style w:type="table" w:styleId="TableGrid">
    <w:name w:val="Table Grid"/>
    <w:basedOn w:val="TableNormal"/>
    <w:uiPriority w:val="99"/>
    <w:rsid w:val="00CD3D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2D3FD8"/>
    <w:pPr>
      <w:spacing w:after="120"/>
    </w:pPr>
  </w:style>
  <w:style w:type="character" w:customStyle="1" w:styleId="BodyTextChar">
    <w:name w:val="Body Text Char"/>
    <w:link w:val="BodyText"/>
    <w:uiPriority w:val="99"/>
    <w:semiHidden/>
    <w:locked/>
    <w:rsid w:val="002D3FD8"/>
    <w:rPr>
      <w:sz w:val="22"/>
      <w:szCs w:val="22"/>
    </w:rPr>
  </w:style>
  <w:style w:type="paragraph" w:styleId="Subtitle">
    <w:name w:val="Subtitle"/>
    <w:basedOn w:val="Normal"/>
    <w:link w:val="SubtitleChar"/>
    <w:uiPriority w:val="99"/>
    <w:qFormat/>
    <w:rsid w:val="002D3FD8"/>
    <w:pPr>
      <w:spacing w:after="0" w:line="240" w:lineRule="auto"/>
      <w:jc w:val="center"/>
    </w:pPr>
    <w:rPr>
      <w:rFonts w:ascii="Comic Sans MS" w:eastAsia="Times New Roman" w:hAnsi="Comic Sans MS" w:cs="Comic Sans MS"/>
      <w:b/>
      <w:bCs/>
      <w:sz w:val="24"/>
      <w:szCs w:val="24"/>
    </w:rPr>
  </w:style>
  <w:style w:type="character" w:customStyle="1" w:styleId="SubtitleChar">
    <w:name w:val="Subtitle Char"/>
    <w:link w:val="Subtitle"/>
    <w:uiPriority w:val="99"/>
    <w:locked/>
    <w:rsid w:val="002D3FD8"/>
    <w:rPr>
      <w:rFonts w:ascii="Comic Sans MS" w:hAnsi="Comic Sans MS" w:cs="Comic Sans MS"/>
      <w:b/>
      <w:bCs/>
      <w:sz w:val="24"/>
      <w:szCs w:val="24"/>
    </w:rPr>
  </w:style>
  <w:style w:type="character" w:customStyle="1" w:styleId="atn">
    <w:name w:val="atn"/>
    <w:basedOn w:val="DefaultParagraphFont"/>
    <w:uiPriority w:val="99"/>
    <w:rsid w:val="001604B8"/>
  </w:style>
  <w:style w:type="character" w:customStyle="1" w:styleId="shorttext">
    <w:name w:val="short_text"/>
    <w:rsid w:val="006A6523"/>
  </w:style>
  <w:style w:type="paragraph" w:customStyle="1" w:styleId="BasicParagraph">
    <w:name w:val="[Basic Paragraph]"/>
    <w:basedOn w:val="Normal"/>
    <w:rsid w:val="003471FA"/>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LineNumber">
    <w:name w:val="line number"/>
    <w:uiPriority w:val="99"/>
    <w:semiHidden/>
    <w:unhideWhenUsed/>
    <w:rsid w:val="00766F56"/>
  </w:style>
  <w:style w:type="paragraph" w:styleId="NormalWeb">
    <w:name w:val="Normal (Web)"/>
    <w:basedOn w:val="Normal"/>
    <w:uiPriority w:val="99"/>
    <w:unhideWhenUsed/>
    <w:rsid w:val="00B25F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locked/>
    <w:rsid w:val="00B25F5C"/>
    <w:rPr>
      <w:b/>
      <w:bCs/>
    </w:rPr>
  </w:style>
  <w:style w:type="character" w:customStyle="1" w:styleId="rynqvb">
    <w:name w:val="rynqvb"/>
    <w:basedOn w:val="DefaultParagraphFont"/>
    <w:rsid w:val="00476386"/>
  </w:style>
  <w:style w:type="character" w:customStyle="1" w:styleId="fontstyle01">
    <w:name w:val="fontstyle01"/>
    <w:rsid w:val="00EE565D"/>
    <w:rPr>
      <w:rFonts w:ascii="Calibri-Bold" w:hAnsi="Calibri-Bold" w:hint="default"/>
      <w:b/>
      <w:bCs/>
      <w:i w:val="0"/>
      <w:iCs w:val="0"/>
      <w:color w:val="FFFFFF"/>
      <w:sz w:val="16"/>
      <w:szCs w:val="16"/>
    </w:rPr>
  </w:style>
  <w:style w:type="character" w:styleId="UnresolvedMention">
    <w:name w:val="Unresolved Mention"/>
    <w:uiPriority w:val="99"/>
    <w:semiHidden/>
    <w:unhideWhenUsed/>
    <w:rsid w:val="00EE565D"/>
    <w:rPr>
      <w:color w:val="605E5C"/>
      <w:shd w:val="clear" w:color="auto" w:fill="E1DFDD"/>
    </w:rPr>
  </w:style>
  <w:style w:type="paragraph" w:customStyle="1" w:styleId="MDPI31text">
    <w:name w:val="MDPI_3.1_text"/>
    <w:qFormat/>
    <w:rsid w:val="00C203E1"/>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42tablebody">
    <w:name w:val="MDPI_4.2_table_body"/>
    <w:qFormat/>
    <w:rsid w:val="009F557E"/>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39equation">
    <w:name w:val="MDPI_3.9_equation"/>
    <w:qFormat/>
    <w:rsid w:val="009F557E"/>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9F557E"/>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51figurecaption">
    <w:name w:val="MDPI_5.1_figure_caption"/>
    <w:qFormat/>
    <w:rsid w:val="008B7539"/>
    <w:pPr>
      <w:adjustRightInd w:val="0"/>
      <w:snapToGrid w:val="0"/>
      <w:spacing w:before="120" w:after="240" w:line="228" w:lineRule="auto"/>
      <w:ind w:left="2608"/>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8B7539"/>
    <w:pPr>
      <w:adjustRightInd w:val="0"/>
      <w:snapToGrid w:val="0"/>
      <w:spacing w:before="240" w:after="120"/>
      <w:jc w:val="center"/>
    </w:pPr>
    <w:rPr>
      <w:rFonts w:ascii="Palatino Linotype" w:eastAsia="Times New Roman" w:hAnsi="Palatino Linotype"/>
      <w:snapToGrid w:val="0"/>
      <w:color w:val="00000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127414">
      <w:bodyDiv w:val="1"/>
      <w:marLeft w:val="0"/>
      <w:marRight w:val="0"/>
      <w:marTop w:val="0"/>
      <w:marBottom w:val="0"/>
      <w:divBdr>
        <w:top w:val="none" w:sz="0" w:space="0" w:color="auto"/>
        <w:left w:val="none" w:sz="0" w:space="0" w:color="auto"/>
        <w:bottom w:val="none" w:sz="0" w:space="0" w:color="auto"/>
        <w:right w:val="none" w:sz="0" w:space="0" w:color="auto"/>
      </w:divBdr>
    </w:div>
    <w:div w:id="1624534806">
      <w:marLeft w:val="0"/>
      <w:marRight w:val="0"/>
      <w:marTop w:val="0"/>
      <w:marBottom w:val="0"/>
      <w:divBdr>
        <w:top w:val="none" w:sz="0" w:space="0" w:color="auto"/>
        <w:left w:val="none" w:sz="0" w:space="0" w:color="auto"/>
        <w:bottom w:val="none" w:sz="0" w:space="0" w:color="auto"/>
        <w:right w:val="none" w:sz="0" w:space="0" w:color="auto"/>
      </w:divBdr>
      <w:divsChild>
        <w:div w:id="1624534807">
          <w:marLeft w:val="0"/>
          <w:marRight w:val="0"/>
          <w:marTop w:val="0"/>
          <w:marBottom w:val="0"/>
          <w:divBdr>
            <w:top w:val="none" w:sz="0" w:space="0" w:color="auto"/>
            <w:left w:val="none" w:sz="0" w:space="0" w:color="auto"/>
            <w:bottom w:val="none" w:sz="0" w:space="0" w:color="auto"/>
            <w:right w:val="none" w:sz="0" w:space="0" w:color="auto"/>
          </w:divBdr>
          <w:divsChild>
            <w:div w:id="16245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808">
      <w:marLeft w:val="0"/>
      <w:marRight w:val="0"/>
      <w:marTop w:val="0"/>
      <w:marBottom w:val="0"/>
      <w:divBdr>
        <w:top w:val="none" w:sz="0" w:space="0" w:color="auto"/>
        <w:left w:val="none" w:sz="0" w:space="0" w:color="auto"/>
        <w:bottom w:val="none" w:sz="0" w:space="0" w:color="auto"/>
        <w:right w:val="none" w:sz="0" w:space="0" w:color="auto"/>
      </w:divBdr>
      <w:divsChild>
        <w:div w:id="1624534809">
          <w:marLeft w:val="0"/>
          <w:marRight w:val="0"/>
          <w:marTop w:val="0"/>
          <w:marBottom w:val="0"/>
          <w:divBdr>
            <w:top w:val="none" w:sz="0" w:space="0" w:color="auto"/>
            <w:left w:val="none" w:sz="0" w:space="0" w:color="auto"/>
            <w:bottom w:val="none" w:sz="0" w:space="0" w:color="auto"/>
            <w:right w:val="none" w:sz="0" w:space="0" w:color="auto"/>
          </w:divBdr>
          <w:divsChild>
            <w:div w:id="16245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gah@for.upr.ac.id"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6A2D6-A918-4882-9AB7-8F0A4DBC2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18</Pages>
  <Words>41364</Words>
  <Characters>235779</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
    </vt:vector>
  </TitlesOfParts>
  <Company>Geografi UGM</Company>
  <LinksUpToDate>false</LinksUpToDate>
  <CharactersWithSpaces>276590</CharactersWithSpaces>
  <SharedDoc>false</SharedDoc>
  <HLinks>
    <vt:vector size="24" baseType="variant">
      <vt:variant>
        <vt:i4>6946877</vt:i4>
      </vt:variant>
      <vt:variant>
        <vt:i4>9</vt:i4>
      </vt:variant>
      <vt:variant>
        <vt:i4>0</vt:i4>
      </vt:variant>
      <vt:variant>
        <vt:i4>5</vt:i4>
      </vt:variant>
      <vt:variant>
        <vt:lpwstr>https://simpan.ugm.ac.id/s/Urnun3QuTV7Lo4d</vt:lpwstr>
      </vt:variant>
      <vt:variant>
        <vt:lpwstr/>
      </vt:variant>
      <vt:variant>
        <vt:i4>3473468</vt:i4>
      </vt:variant>
      <vt:variant>
        <vt:i4>6</vt:i4>
      </vt:variant>
      <vt:variant>
        <vt:i4>0</vt:i4>
      </vt:variant>
      <vt:variant>
        <vt:i4>5</vt:i4>
      </vt:variant>
      <vt:variant>
        <vt:lpwstr>https://simpan.ugm.ac.id/s/o1u4TXUzSPHRakr</vt:lpwstr>
      </vt:variant>
      <vt:variant>
        <vt:lpwstr/>
      </vt:variant>
      <vt:variant>
        <vt:i4>7667771</vt:i4>
      </vt:variant>
      <vt:variant>
        <vt:i4>3</vt:i4>
      </vt:variant>
      <vt:variant>
        <vt:i4>0</vt:i4>
      </vt:variant>
      <vt:variant>
        <vt:i4>5</vt:i4>
      </vt:variant>
      <vt:variant>
        <vt:lpwstr>https://simpan.ugm.ac.id/s/iXn2f9LTiHkdHb4</vt:lpwstr>
      </vt:variant>
      <vt:variant>
        <vt:lpwstr/>
      </vt:variant>
      <vt:variant>
        <vt:i4>2031675</vt:i4>
      </vt:variant>
      <vt:variant>
        <vt:i4>0</vt:i4>
      </vt:variant>
      <vt:variant>
        <vt:i4>0</vt:i4>
      </vt:variant>
      <vt:variant>
        <vt:i4>5</vt:i4>
      </vt:variant>
      <vt:variant>
        <vt:lpwstr>mailto:xxxxxx@gmail.com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Fak_geografi</dc:creator>
  <cp:keywords/>
  <dc:description/>
  <cp:lastModifiedBy>Hendrik Segah</cp:lastModifiedBy>
  <cp:revision>4</cp:revision>
  <cp:lastPrinted>2015-12-17T07:51:00Z</cp:lastPrinted>
  <dcterms:created xsi:type="dcterms:W3CDTF">2023-10-22T22:39:00Z</dcterms:created>
  <dcterms:modified xsi:type="dcterms:W3CDTF">2023-10-23T06:00:00Z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http://www.zotero.org/styles/taylor-and-francis-apa</vt:lpwstr>
  </property>
  <property fmtid="{D5CDD505-2E9C-101B-9397-08002B2CF9AE}" pid="4" name="Mendeley Unique User Id_1">
    <vt:lpwstr>0b375509-21c4-3571-9862-7e5f45620bc9</vt:lpwstr>
  </property>
  <property fmtid="{D5CDD505-2E9C-101B-9397-08002B2CF9AE}" pid="5" name="Mendeley Recent Style Id 0_1">
    <vt:lpwstr>http://www.zotero.org/styles/american-medical-association-brackets</vt:lpwstr>
  </property>
  <property fmtid="{D5CDD505-2E9C-101B-9397-08002B2CF9AE}" pid="6" name="Mendeley Recent Style Name 0_1">
    <vt:lpwstr>American Medical Association 11th edition (brackets)</vt:lpwstr>
  </property>
  <property fmtid="{D5CDD505-2E9C-101B-9397-08002B2CF9AE}" pid="7" name="Mendeley Recent Style Id 1_1">
    <vt:lpwstr>http://www.zotero.org/styles/la-trobe-university-apa</vt:lpwstr>
  </property>
  <property fmtid="{D5CDD505-2E9C-101B-9397-08002B2CF9AE}" pid="8" name="Mendeley Recent Style Name 1_1">
    <vt:lpwstr>La Trobe University - APA 6th edition</vt:lpwstr>
  </property>
  <property fmtid="{D5CDD505-2E9C-101B-9397-08002B2CF9AE}" pid="9" name="Mendeley Recent Style Id 2_1">
    <vt:lpwstr>http://www.zotero.org/styles/national-library-of-medicine-brackets-no-et-al</vt:lpwstr>
  </property>
  <property fmtid="{D5CDD505-2E9C-101B-9397-08002B2CF9AE}" pid="10" name="Mendeley Recent Style Name 2_1">
    <vt:lpwstr>National Library of Medicine (brackets, no "et al.")</vt:lpwstr>
  </property>
  <property fmtid="{D5CDD505-2E9C-101B-9397-08002B2CF9AE}" pid="11" name="Mendeley Recent Style Id 3_1">
    <vt:lpwstr>http://www.zotero.org/styles/sage-vancouver-brackets</vt:lpwstr>
  </property>
  <property fmtid="{D5CDD505-2E9C-101B-9397-08002B2CF9AE}" pid="12" name="Mendeley Recent Style Name 3_1">
    <vt:lpwstr>SAGE - Vancouver (brackets)</vt:lpwstr>
  </property>
  <property fmtid="{D5CDD505-2E9C-101B-9397-08002B2CF9AE}" pid="13" name="Mendeley Recent Style Id 4_1">
    <vt:lpwstr>http://www.zotero.org/styles/springer-mathphys-brackets</vt:lpwstr>
  </property>
  <property fmtid="{D5CDD505-2E9C-101B-9397-08002B2CF9AE}" pid="14" name="Mendeley Recent Style Name 4_1">
    <vt:lpwstr>Springer - MathPhys (numeric, brackets)</vt:lpwstr>
  </property>
  <property fmtid="{D5CDD505-2E9C-101B-9397-08002B2CF9AE}" pid="15" name="Mendeley Recent Style Id 5_1">
    <vt:lpwstr>http://www.zotero.org/styles/springer-physics-brackets</vt:lpwstr>
  </property>
  <property fmtid="{D5CDD505-2E9C-101B-9397-08002B2CF9AE}" pid="16" name="Mendeley Recent Style Name 5_1">
    <vt:lpwstr>Springer - Physics (numeric, brackets)</vt:lpwstr>
  </property>
  <property fmtid="{D5CDD505-2E9C-101B-9397-08002B2CF9AE}" pid="17" name="Mendeley Recent Style Id 6_1">
    <vt:lpwstr>http://www.zotero.org/styles/springer-socpsych-brackets</vt:lpwstr>
  </property>
  <property fmtid="{D5CDD505-2E9C-101B-9397-08002B2CF9AE}" pid="18" name="Mendeley Recent Style Name 6_1">
    <vt:lpwstr>Springer - SocPsych (numeric, brackets)</vt:lpwstr>
  </property>
  <property fmtid="{D5CDD505-2E9C-101B-9397-08002B2CF9AE}" pid="19" name="Mendeley Recent Style Id 7_1">
    <vt:lpwstr>http://www.zotero.org/styles/taylor-and-francis-apa</vt:lpwstr>
  </property>
  <property fmtid="{D5CDD505-2E9C-101B-9397-08002B2CF9AE}" pid="20" name="Mendeley Recent Style Name 7_1">
    <vt:lpwstr>Taylor &amp; Francis - APA</vt:lpwstr>
  </property>
  <property fmtid="{D5CDD505-2E9C-101B-9397-08002B2CF9AE}" pid="21" name="Mendeley Recent Style Id 8_1">
    <vt:lpwstr>http://www.zotero.org/styles/university-of-york-apa</vt:lpwstr>
  </property>
  <property fmtid="{D5CDD505-2E9C-101B-9397-08002B2CF9AE}" pid="22" name="Mendeley Recent Style Name 8_1">
    <vt:lpwstr>University of York - APA 6th edition</vt:lpwstr>
  </property>
  <property fmtid="{D5CDD505-2E9C-101B-9397-08002B2CF9AE}" pid="23" name="Mendeley Recent Style Id 9_1">
    <vt:lpwstr>http://www.zotero.org/styles/vancouver-brackets</vt:lpwstr>
  </property>
  <property fmtid="{D5CDD505-2E9C-101B-9397-08002B2CF9AE}" pid="24" name="Mendeley Recent Style Name 9_1">
    <vt:lpwstr>Vancouver (brackets)</vt:lpwstr>
  </property>
</Properties>
</file>