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61947" w14:textId="68851A87" w:rsidR="003E5BE8" w:rsidRPr="002E3D58" w:rsidRDefault="003E5BE8" w:rsidP="003E5BE8">
      <w:pPr>
        <w:pStyle w:val="ListParagraph"/>
        <w:spacing w:line="360" w:lineRule="auto"/>
        <w:ind w:left="1080" w:firstLine="360"/>
        <w:jc w:val="center"/>
        <w:rPr>
          <w:rFonts w:ascii="Times New Roman" w:hAnsi="Times New Roman" w:cs="Times New Roman"/>
          <w:sz w:val="24"/>
          <w:szCs w:val="24"/>
          <w:shd w:val="clear" w:color="auto" w:fill="FCFCFC"/>
        </w:rPr>
      </w:pPr>
      <w:r w:rsidRPr="002E3D58">
        <w:rPr>
          <w:rFonts w:ascii="Times New Roman" w:hAnsi="Times New Roman" w:cs="Times New Roman"/>
          <w:b/>
          <w:bCs/>
          <w:sz w:val="24"/>
          <w:szCs w:val="24"/>
          <w:shd w:val="clear" w:color="auto" w:fill="FCFCFC"/>
        </w:rPr>
        <w:t>Table 1</w:t>
      </w:r>
      <w:r w:rsidRPr="00024260">
        <w:rPr>
          <w:rFonts w:ascii="Times New Roman" w:hAnsi="Times New Roman" w:cs="Times New Roman"/>
          <w:sz w:val="24"/>
          <w:szCs w:val="24"/>
          <w:shd w:val="clear" w:color="auto" w:fill="FCFCFC"/>
        </w:rPr>
        <w:t xml:space="preserve"> The molecules secreted by the MSCs and their functions</w:t>
      </w:r>
    </w:p>
    <w:tbl>
      <w:tblPr>
        <w:tblStyle w:val="TableGrid"/>
        <w:tblW w:w="9000" w:type="dxa"/>
        <w:tblInd w:w="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7740"/>
      </w:tblGrid>
      <w:tr w:rsidR="003E5BE8" w:rsidRPr="003E5BE8" w14:paraId="23C79F8B" w14:textId="77777777" w:rsidTr="003E5BE8">
        <w:tc>
          <w:tcPr>
            <w:tcW w:w="1260" w:type="dxa"/>
            <w:tcBorders>
              <w:top w:val="single" w:sz="4" w:space="0" w:color="auto"/>
              <w:bottom w:val="single" w:sz="4" w:space="0" w:color="auto"/>
            </w:tcBorders>
          </w:tcPr>
          <w:p w14:paraId="685BAF5D"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bookmarkStart w:id="0" w:name="_Hlk57453110"/>
            <w:r w:rsidRPr="003E5BE8">
              <w:rPr>
                <w:rFonts w:ascii="Times New Roman" w:hAnsi="Times New Roman" w:cs="Times New Roman"/>
                <w:sz w:val="24"/>
                <w:szCs w:val="24"/>
                <w:shd w:val="clear" w:color="auto" w:fill="FCFCFC"/>
              </w:rPr>
              <w:t>Molecules</w:t>
            </w:r>
          </w:p>
        </w:tc>
        <w:tc>
          <w:tcPr>
            <w:tcW w:w="7740" w:type="dxa"/>
            <w:tcBorders>
              <w:top w:val="single" w:sz="4" w:space="0" w:color="auto"/>
              <w:bottom w:val="single" w:sz="4" w:space="0" w:color="auto"/>
            </w:tcBorders>
          </w:tcPr>
          <w:p w14:paraId="20637D38"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Function</w:t>
            </w:r>
          </w:p>
        </w:tc>
      </w:tr>
      <w:tr w:rsidR="003E5BE8" w:rsidRPr="003E5BE8" w14:paraId="330542D6" w14:textId="77777777" w:rsidTr="003E5BE8">
        <w:tc>
          <w:tcPr>
            <w:tcW w:w="1260" w:type="dxa"/>
            <w:vMerge w:val="restart"/>
            <w:tcBorders>
              <w:top w:val="single" w:sz="4" w:space="0" w:color="auto"/>
            </w:tcBorders>
          </w:tcPr>
          <w:p w14:paraId="3C4054F0"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FFFFF"/>
              </w:rPr>
              <w:t>TGF-β </w:t>
            </w:r>
          </w:p>
        </w:tc>
        <w:tc>
          <w:tcPr>
            <w:tcW w:w="7740" w:type="dxa"/>
            <w:tcBorders>
              <w:top w:val="single" w:sz="4" w:space="0" w:color="auto"/>
              <w:bottom w:val="single" w:sz="4" w:space="0" w:color="auto"/>
            </w:tcBorders>
          </w:tcPr>
          <w:p w14:paraId="0B0752EF"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T-reg activation, therefore promote systemic immune tolerance</w:t>
            </w:r>
          </w:p>
        </w:tc>
      </w:tr>
      <w:tr w:rsidR="003E5BE8" w:rsidRPr="003E5BE8" w14:paraId="274EFC15" w14:textId="77777777" w:rsidTr="003E5BE8">
        <w:trPr>
          <w:trHeight w:val="275"/>
        </w:trPr>
        <w:tc>
          <w:tcPr>
            <w:tcW w:w="1260" w:type="dxa"/>
            <w:vMerge/>
          </w:tcPr>
          <w:p w14:paraId="6BE1E56E"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FFFFF"/>
              </w:rPr>
            </w:pPr>
          </w:p>
        </w:tc>
        <w:tc>
          <w:tcPr>
            <w:tcW w:w="7740" w:type="dxa"/>
            <w:tcBorders>
              <w:top w:val="single" w:sz="4" w:space="0" w:color="auto"/>
              <w:bottom w:val="single" w:sz="4" w:space="0" w:color="auto"/>
            </w:tcBorders>
          </w:tcPr>
          <w:p w14:paraId="542B970F"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Inhibition effector T-cell proliferation and function</w:t>
            </w:r>
          </w:p>
        </w:tc>
      </w:tr>
      <w:tr w:rsidR="003E5BE8" w:rsidRPr="003E5BE8" w14:paraId="71906621" w14:textId="77777777" w:rsidTr="003E5BE8">
        <w:trPr>
          <w:trHeight w:val="275"/>
        </w:trPr>
        <w:tc>
          <w:tcPr>
            <w:tcW w:w="1260" w:type="dxa"/>
            <w:vMerge/>
          </w:tcPr>
          <w:p w14:paraId="1C297F1B"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FFFFF"/>
              </w:rPr>
            </w:pPr>
          </w:p>
        </w:tc>
        <w:tc>
          <w:tcPr>
            <w:tcW w:w="7740" w:type="dxa"/>
            <w:tcBorders>
              <w:top w:val="single" w:sz="4" w:space="0" w:color="auto"/>
              <w:bottom w:val="single" w:sz="4" w:space="0" w:color="auto"/>
            </w:tcBorders>
          </w:tcPr>
          <w:p w14:paraId="7EFE019A"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lang w:val="en-US"/>
              </w:rPr>
              <w:t>Reduction</w:t>
            </w:r>
            <w:r w:rsidRPr="003E5BE8">
              <w:rPr>
                <w:rFonts w:ascii="Times New Roman" w:hAnsi="Times New Roman" w:cs="Times New Roman"/>
                <w:sz w:val="24"/>
                <w:szCs w:val="24"/>
                <w:shd w:val="clear" w:color="auto" w:fill="FCFCFC"/>
              </w:rPr>
              <w:t xml:space="preserve"> of cytolytic activity and cytokine production of NK cells</w:t>
            </w:r>
          </w:p>
        </w:tc>
      </w:tr>
      <w:tr w:rsidR="003E5BE8" w:rsidRPr="003E5BE8" w14:paraId="0BE7F369" w14:textId="77777777" w:rsidTr="003E5BE8">
        <w:trPr>
          <w:trHeight w:val="275"/>
        </w:trPr>
        <w:tc>
          <w:tcPr>
            <w:tcW w:w="1260" w:type="dxa"/>
            <w:vMerge/>
            <w:tcBorders>
              <w:bottom w:val="single" w:sz="4" w:space="0" w:color="auto"/>
            </w:tcBorders>
          </w:tcPr>
          <w:p w14:paraId="4BAB037D"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FFFFF"/>
              </w:rPr>
            </w:pPr>
          </w:p>
        </w:tc>
        <w:tc>
          <w:tcPr>
            <w:tcW w:w="7740" w:type="dxa"/>
            <w:tcBorders>
              <w:top w:val="single" w:sz="4" w:space="0" w:color="auto"/>
              <w:bottom w:val="single" w:sz="4" w:space="0" w:color="auto"/>
            </w:tcBorders>
          </w:tcPr>
          <w:p w14:paraId="7AB1A3DB"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 xml:space="preserve">Suppression of </w:t>
            </w:r>
            <w:r w:rsidRPr="003E5BE8">
              <w:rPr>
                <w:rFonts w:ascii="Times New Roman" w:hAnsi="Times New Roman" w:cs="Times New Roman"/>
                <w:sz w:val="24"/>
                <w:szCs w:val="24"/>
                <w:shd w:val="clear" w:color="auto" w:fill="FCFCFC"/>
                <w:lang w:val="en-US"/>
              </w:rPr>
              <w:t>DC</w:t>
            </w:r>
            <w:r w:rsidRPr="003E5BE8">
              <w:rPr>
                <w:rFonts w:ascii="Times New Roman" w:hAnsi="Times New Roman" w:cs="Times New Roman"/>
                <w:sz w:val="24"/>
                <w:szCs w:val="24"/>
                <w:shd w:val="clear" w:color="auto" w:fill="FCFCFC"/>
              </w:rPr>
              <w:t>s, B cells,</w:t>
            </w:r>
            <w:r w:rsidRPr="003E5BE8">
              <w:rPr>
                <w:rFonts w:ascii="Times New Roman" w:hAnsi="Times New Roman" w:cs="Times New Roman"/>
                <w:sz w:val="24"/>
                <w:szCs w:val="24"/>
                <w:shd w:val="clear" w:color="auto" w:fill="FCFCFC"/>
                <w:lang w:val="en-US"/>
              </w:rPr>
              <w:t xml:space="preserve"> </w:t>
            </w:r>
            <w:r w:rsidRPr="003E5BE8">
              <w:rPr>
                <w:rFonts w:ascii="Times New Roman" w:hAnsi="Times New Roman" w:cs="Times New Roman"/>
                <w:sz w:val="24"/>
                <w:szCs w:val="24"/>
                <w:shd w:val="clear" w:color="auto" w:fill="FCFCFC"/>
              </w:rPr>
              <w:t>and macrophages</w:t>
            </w:r>
          </w:p>
        </w:tc>
      </w:tr>
      <w:tr w:rsidR="003E5BE8" w:rsidRPr="003E5BE8" w14:paraId="65DE4966" w14:textId="77777777" w:rsidTr="003E5BE8">
        <w:tc>
          <w:tcPr>
            <w:tcW w:w="1260" w:type="dxa"/>
            <w:tcBorders>
              <w:top w:val="single" w:sz="4" w:space="0" w:color="auto"/>
              <w:bottom w:val="single" w:sz="4" w:space="0" w:color="auto"/>
            </w:tcBorders>
          </w:tcPr>
          <w:p w14:paraId="5C71B785"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PGE2</w:t>
            </w:r>
          </w:p>
        </w:tc>
        <w:tc>
          <w:tcPr>
            <w:tcW w:w="7740" w:type="dxa"/>
            <w:tcBorders>
              <w:top w:val="single" w:sz="4" w:space="0" w:color="auto"/>
              <w:bottom w:val="single" w:sz="4" w:space="0" w:color="auto"/>
            </w:tcBorders>
          </w:tcPr>
          <w:p w14:paraId="119A41E3"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Immunosuppressive factor, its cellular target particularly are NK cells, PBMCs, monocytes, macrophages and transitional processes of monocyte differentiation into mature DCs</w:t>
            </w:r>
          </w:p>
        </w:tc>
      </w:tr>
      <w:tr w:rsidR="003E5BE8" w:rsidRPr="003E5BE8" w14:paraId="589BED14" w14:textId="77777777" w:rsidTr="003E5BE8">
        <w:trPr>
          <w:trHeight w:val="415"/>
        </w:trPr>
        <w:tc>
          <w:tcPr>
            <w:tcW w:w="1260" w:type="dxa"/>
            <w:vMerge w:val="restart"/>
            <w:tcBorders>
              <w:top w:val="single" w:sz="4" w:space="0" w:color="auto"/>
              <w:bottom w:val="nil"/>
            </w:tcBorders>
          </w:tcPr>
          <w:p w14:paraId="1BB2C724"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FFFFF"/>
              </w:rPr>
              <w:t>VEGF</w:t>
            </w:r>
          </w:p>
        </w:tc>
        <w:tc>
          <w:tcPr>
            <w:tcW w:w="7740" w:type="dxa"/>
            <w:tcBorders>
              <w:top w:val="single" w:sz="4" w:space="0" w:color="auto"/>
              <w:bottom w:val="single" w:sz="4" w:space="0" w:color="auto"/>
            </w:tcBorders>
          </w:tcPr>
          <w:p w14:paraId="348E77EF"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Stimulates angiogenesis</w:t>
            </w:r>
          </w:p>
        </w:tc>
      </w:tr>
      <w:tr w:rsidR="003E5BE8" w:rsidRPr="003E5BE8" w14:paraId="66468BFE" w14:textId="77777777" w:rsidTr="003E5BE8">
        <w:trPr>
          <w:trHeight w:val="415"/>
        </w:trPr>
        <w:tc>
          <w:tcPr>
            <w:tcW w:w="1260" w:type="dxa"/>
            <w:vMerge/>
            <w:tcBorders>
              <w:top w:val="nil"/>
              <w:bottom w:val="nil"/>
            </w:tcBorders>
          </w:tcPr>
          <w:p w14:paraId="70E30FA0"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FFFFF"/>
              </w:rPr>
            </w:pPr>
          </w:p>
        </w:tc>
        <w:tc>
          <w:tcPr>
            <w:tcW w:w="7740" w:type="dxa"/>
            <w:tcBorders>
              <w:top w:val="single" w:sz="4" w:space="0" w:color="auto"/>
              <w:bottom w:val="single" w:sz="4" w:space="0" w:color="auto"/>
            </w:tcBorders>
          </w:tcPr>
          <w:p w14:paraId="51DB5486"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Pro-inflammatory function by recruiting mononuclear cells, upregulate Th1 and Th17</w:t>
            </w:r>
          </w:p>
        </w:tc>
      </w:tr>
      <w:tr w:rsidR="003E5BE8" w:rsidRPr="003E5BE8" w14:paraId="5FFEE523" w14:textId="77777777" w:rsidTr="003E5BE8">
        <w:trPr>
          <w:trHeight w:val="415"/>
        </w:trPr>
        <w:tc>
          <w:tcPr>
            <w:tcW w:w="1260" w:type="dxa"/>
            <w:vMerge/>
            <w:tcBorders>
              <w:top w:val="nil"/>
              <w:bottom w:val="single" w:sz="4" w:space="0" w:color="auto"/>
            </w:tcBorders>
          </w:tcPr>
          <w:p w14:paraId="3B757E05"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FFFFF"/>
              </w:rPr>
            </w:pPr>
          </w:p>
        </w:tc>
        <w:tc>
          <w:tcPr>
            <w:tcW w:w="7740" w:type="dxa"/>
            <w:tcBorders>
              <w:top w:val="single" w:sz="4" w:space="0" w:color="auto"/>
              <w:bottom w:val="single" w:sz="4" w:space="0" w:color="auto"/>
            </w:tcBorders>
          </w:tcPr>
          <w:p w14:paraId="25704B21"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Immunosuppressive function by down-regulate the transcription factor NF-κB, resulting in an inhibition of DCs maturation</w:t>
            </w:r>
          </w:p>
        </w:tc>
      </w:tr>
      <w:tr w:rsidR="003E5BE8" w:rsidRPr="003E5BE8" w14:paraId="58687BC0" w14:textId="77777777" w:rsidTr="003E5BE8">
        <w:tc>
          <w:tcPr>
            <w:tcW w:w="1260" w:type="dxa"/>
            <w:tcBorders>
              <w:top w:val="single" w:sz="4" w:space="0" w:color="auto"/>
              <w:bottom w:val="single" w:sz="4" w:space="0" w:color="auto"/>
            </w:tcBorders>
          </w:tcPr>
          <w:p w14:paraId="50A959BD"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IDO</w:t>
            </w:r>
          </w:p>
        </w:tc>
        <w:tc>
          <w:tcPr>
            <w:tcW w:w="7740" w:type="dxa"/>
            <w:tcBorders>
              <w:top w:val="single" w:sz="4" w:space="0" w:color="auto"/>
              <w:bottom w:val="single" w:sz="4" w:space="0" w:color="auto"/>
            </w:tcBorders>
          </w:tcPr>
          <w:p w14:paraId="0BE48254"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Immunosuppressive and anti-microbial effects</w:t>
            </w:r>
          </w:p>
        </w:tc>
      </w:tr>
      <w:tr w:rsidR="003E5BE8" w:rsidRPr="003E5BE8" w14:paraId="7EE5C941" w14:textId="77777777" w:rsidTr="003E5BE8">
        <w:trPr>
          <w:trHeight w:val="413"/>
        </w:trPr>
        <w:tc>
          <w:tcPr>
            <w:tcW w:w="1260" w:type="dxa"/>
            <w:vMerge w:val="restart"/>
            <w:tcBorders>
              <w:top w:val="single" w:sz="4" w:space="0" w:color="auto"/>
            </w:tcBorders>
          </w:tcPr>
          <w:p w14:paraId="3B60472C"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FFFFF"/>
              </w:rPr>
              <w:t>CCL2/MCP-1</w:t>
            </w:r>
          </w:p>
        </w:tc>
        <w:tc>
          <w:tcPr>
            <w:tcW w:w="7740" w:type="dxa"/>
            <w:tcBorders>
              <w:top w:val="single" w:sz="4" w:space="0" w:color="auto"/>
              <w:bottom w:val="single" w:sz="4" w:space="0" w:color="auto"/>
            </w:tcBorders>
          </w:tcPr>
          <w:p w14:paraId="77973554"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FFFFF"/>
              </w:rPr>
              <w:t xml:space="preserve">Regulating recruitment and migration </w:t>
            </w:r>
            <w:r w:rsidRPr="003E5BE8">
              <w:rPr>
                <w:rFonts w:ascii="Times New Roman" w:hAnsi="Times New Roman" w:cs="Times New Roman"/>
                <w:sz w:val="24"/>
                <w:szCs w:val="24"/>
                <w:shd w:val="clear" w:color="auto" w:fill="FFFFFF"/>
                <w:lang w:val="en-US"/>
              </w:rPr>
              <w:t xml:space="preserve">of </w:t>
            </w:r>
            <w:r w:rsidRPr="003E5BE8">
              <w:rPr>
                <w:rFonts w:ascii="Times New Roman" w:hAnsi="Times New Roman" w:cs="Times New Roman"/>
                <w:sz w:val="24"/>
                <w:szCs w:val="24"/>
                <w:shd w:val="clear" w:color="auto" w:fill="FFFFFF"/>
              </w:rPr>
              <w:t>monocyte</w:t>
            </w:r>
          </w:p>
        </w:tc>
      </w:tr>
      <w:tr w:rsidR="003E5BE8" w:rsidRPr="003E5BE8" w14:paraId="2DE16EB7" w14:textId="77777777" w:rsidTr="003E5BE8">
        <w:trPr>
          <w:trHeight w:val="210"/>
        </w:trPr>
        <w:tc>
          <w:tcPr>
            <w:tcW w:w="1260" w:type="dxa"/>
            <w:vMerge/>
          </w:tcPr>
          <w:p w14:paraId="5066B8A0"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FFFFF"/>
              </w:rPr>
            </w:pPr>
          </w:p>
        </w:tc>
        <w:tc>
          <w:tcPr>
            <w:tcW w:w="7740" w:type="dxa"/>
            <w:tcBorders>
              <w:top w:val="single" w:sz="4" w:space="0" w:color="auto"/>
              <w:bottom w:val="single" w:sz="4" w:space="0" w:color="auto"/>
            </w:tcBorders>
          </w:tcPr>
          <w:p w14:paraId="0FC5AF44"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FFFFF"/>
              </w:rPr>
            </w:pPr>
            <w:r w:rsidRPr="003E5BE8">
              <w:rPr>
                <w:rFonts w:ascii="Times New Roman" w:hAnsi="Times New Roman" w:cs="Times New Roman"/>
                <w:sz w:val="24"/>
                <w:szCs w:val="24"/>
                <w:shd w:val="clear" w:color="auto" w:fill="FFFFFF"/>
              </w:rPr>
              <w:t>Inhibition of Th17</w:t>
            </w:r>
          </w:p>
        </w:tc>
      </w:tr>
      <w:tr w:rsidR="003E5BE8" w:rsidRPr="003E5BE8" w14:paraId="4EEB1896" w14:textId="77777777" w:rsidTr="003E5BE8">
        <w:trPr>
          <w:trHeight w:val="210"/>
        </w:trPr>
        <w:tc>
          <w:tcPr>
            <w:tcW w:w="1260" w:type="dxa"/>
            <w:vMerge/>
            <w:tcBorders>
              <w:bottom w:val="single" w:sz="4" w:space="0" w:color="auto"/>
            </w:tcBorders>
          </w:tcPr>
          <w:p w14:paraId="3C611FFF"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FFFFF"/>
              </w:rPr>
            </w:pPr>
          </w:p>
        </w:tc>
        <w:tc>
          <w:tcPr>
            <w:tcW w:w="7740" w:type="dxa"/>
            <w:tcBorders>
              <w:top w:val="single" w:sz="4" w:space="0" w:color="auto"/>
              <w:bottom w:val="single" w:sz="4" w:space="0" w:color="auto"/>
            </w:tcBorders>
          </w:tcPr>
          <w:p w14:paraId="75155858"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FFFFF"/>
              </w:rPr>
            </w:pPr>
            <w:r w:rsidRPr="003E5BE8">
              <w:rPr>
                <w:rFonts w:ascii="Times New Roman" w:hAnsi="Times New Roman" w:cs="Times New Roman"/>
                <w:sz w:val="24"/>
                <w:szCs w:val="24"/>
                <w:shd w:val="clear" w:color="auto" w:fill="FFFFFF"/>
              </w:rPr>
              <w:t>Pro-apoptotic or anti-apoptotic activity depend</w:t>
            </w:r>
            <w:r w:rsidRPr="003E5BE8">
              <w:rPr>
                <w:rFonts w:ascii="Times New Roman" w:hAnsi="Times New Roman" w:cs="Times New Roman"/>
                <w:sz w:val="24"/>
                <w:szCs w:val="24"/>
                <w:shd w:val="clear" w:color="auto" w:fill="FFFFFF"/>
                <w:lang w:val="en-US"/>
              </w:rPr>
              <w:t>s</w:t>
            </w:r>
            <w:r w:rsidRPr="003E5BE8">
              <w:rPr>
                <w:rFonts w:ascii="Times New Roman" w:hAnsi="Times New Roman" w:cs="Times New Roman"/>
                <w:sz w:val="24"/>
                <w:szCs w:val="24"/>
                <w:shd w:val="clear" w:color="auto" w:fill="FFFFFF"/>
              </w:rPr>
              <w:t xml:space="preserve"> on the microenvironment and cytokine profile</w:t>
            </w:r>
          </w:p>
        </w:tc>
      </w:tr>
      <w:tr w:rsidR="003E5BE8" w:rsidRPr="003E5BE8" w14:paraId="04B0A42E" w14:textId="77777777" w:rsidTr="003E5BE8">
        <w:tc>
          <w:tcPr>
            <w:tcW w:w="1260" w:type="dxa"/>
            <w:tcBorders>
              <w:top w:val="single" w:sz="4" w:space="0" w:color="auto"/>
              <w:bottom w:val="single" w:sz="4" w:space="0" w:color="auto"/>
            </w:tcBorders>
          </w:tcPr>
          <w:p w14:paraId="2C1B0CA2"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IL-6</w:t>
            </w:r>
          </w:p>
        </w:tc>
        <w:tc>
          <w:tcPr>
            <w:tcW w:w="7740" w:type="dxa"/>
            <w:tcBorders>
              <w:top w:val="single" w:sz="4" w:space="0" w:color="auto"/>
              <w:bottom w:val="single" w:sz="4" w:space="0" w:color="auto"/>
            </w:tcBorders>
          </w:tcPr>
          <w:p w14:paraId="24C06A09" w14:textId="6760CE8B"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lang w:val="en-US"/>
              </w:rPr>
            </w:pPr>
            <w:r>
              <w:rPr>
                <w:rFonts w:ascii="Times New Roman" w:hAnsi="Times New Roman" w:cs="Times New Roman"/>
                <w:sz w:val="24"/>
                <w:szCs w:val="24"/>
                <w:shd w:val="clear" w:color="auto" w:fill="FCFCFC"/>
                <w:lang w:val="en-US"/>
              </w:rPr>
              <w:t>N</w:t>
            </w:r>
            <w:r w:rsidRPr="003E5BE8">
              <w:rPr>
                <w:rFonts w:ascii="Times New Roman" w:hAnsi="Times New Roman" w:cs="Times New Roman"/>
                <w:sz w:val="24"/>
                <w:szCs w:val="24"/>
                <w:shd w:val="clear" w:color="auto" w:fill="FCFCFC"/>
              </w:rPr>
              <w:t xml:space="preserve">eutrophil apoptosis </w:t>
            </w:r>
            <w:r>
              <w:rPr>
                <w:rFonts w:ascii="Times New Roman" w:hAnsi="Times New Roman" w:cs="Times New Roman"/>
                <w:sz w:val="24"/>
                <w:szCs w:val="24"/>
                <w:shd w:val="clear" w:color="auto" w:fill="FCFCFC"/>
                <w:lang w:val="en-US"/>
              </w:rPr>
              <w:t xml:space="preserve">suppression </w:t>
            </w:r>
            <w:r w:rsidRPr="003E5BE8">
              <w:rPr>
                <w:rFonts w:ascii="Times New Roman" w:hAnsi="Times New Roman" w:cs="Times New Roman"/>
                <w:sz w:val="24"/>
                <w:szCs w:val="24"/>
                <w:shd w:val="clear" w:color="auto" w:fill="FCFCFC"/>
              </w:rPr>
              <w:t xml:space="preserve">and </w:t>
            </w:r>
            <w:r>
              <w:rPr>
                <w:rFonts w:ascii="Times New Roman" w:hAnsi="Times New Roman" w:cs="Times New Roman"/>
                <w:sz w:val="24"/>
                <w:szCs w:val="24"/>
                <w:shd w:val="clear" w:color="auto" w:fill="FCFCFC"/>
                <w:lang w:val="en-US"/>
              </w:rPr>
              <w:t xml:space="preserve">induce </w:t>
            </w:r>
            <w:r w:rsidRPr="003E5BE8">
              <w:rPr>
                <w:rFonts w:ascii="Times New Roman" w:hAnsi="Times New Roman" w:cs="Times New Roman"/>
                <w:sz w:val="24"/>
                <w:szCs w:val="24"/>
                <w:shd w:val="clear" w:color="auto" w:fill="FCFCFC"/>
              </w:rPr>
              <w:t>CD8+FoxP3+ cells</w:t>
            </w:r>
            <w:r>
              <w:rPr>
                <w:rFonts w:ascii="Times New Roman" w:hAnsi="Times New Roman" w:cs="Times New Roman"/>
                <w:sz w:val="24"/>
                <w:szCs w:val="24"/>
                <w:shd w:val="clear" w:color="auto" w:fill="FCFCFC"/>
                <w:lang w:val="en-US"/>
              </w:rPr>
              <w:t xml:space="preserve">’ </w:t>
            </w:r>
            <w:r>
              <w:rPr>
                <w:rFonts w:ascii="Times New Roman" w:hAnsi="Times New Roman" w:cs="Times New Roman"/>
                <w:sz w:val="24"/>
                <w:szCs w:val="24"/>
                <w:shd w:val="clear" w:color="auto" w:fill="FCFCFC"/>
                <w:lang w:val="en-US"/>
              </w:rPr>
              <w:t>formation</w:t>
            </w:r>
          </w:p>
        </w:tc>
      </w:tr>
      <w:tr w:rsidR="003E5BE8" w:rsidRPr="003E5BE8" w14:paraId="27D3D753" w14:textId="77777777" w:rsidTr="003E5BE8">
        <w:tc>
          <w:tcPr>
            <w:tcW w:w="1260" w:type="dxa"/>
            <w:tcBorders>
              <w:top w:val="single" w:sz="4" w:space="0" w:color="auto"/>
              <w:bottom w:val="single" w:sz="4" w:space="0" w:color="auto"/>
            </w:tcBorders>
          </w:tcPr>
          <w:p w14:paraId="07972213"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TSG6</w:t>
            </w:r>
          </w:p>
        </w:tc>
        <w:tc>
          <w:tcPr>
            <w:tcW w:w="7740" w:type="dxa"/>
            <w:tcBorders>
              <w:top w:val="single" w:sz="4" w:space="0" w:color="auto"/>
              <w:bottom w:val="single" w:sz="4" w:space="0" w:color="auto"/>
            </w:tcBorders>
          </w:tcPr>
          <w:p w14:paraId="4C02F091"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Inhibit disease progression and induce corneal regeneration</w:t>
            </w:r>
          </w:p>
        </w:tc>
      </w:tr>
      <w:tr w:rsidR="003E5BE8" w:rsidRPr="003E5BE8" w14:paraId="7375D512" w14:textId="77777777" w:rsidTr="003E5BE8">
        <w:tc>
          <w:tcPr>
            <w:tcW w:w="1260" w:type="dxa"/>
            <w:tcBorders>
              <w:top w:val="single" w:sz="4" w:space="0" w:color="auto"/>
              <w:bottom w:val="single" w:sz="4" w:space="0" w:color="auto"/>
            </w:tcBorders>
          </w:tcPr>
          <w:p w14:paraId="04F84D2B"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HGF-1</w:t>
            </w:r>
          </w:p>
        </w:tc>
        <w:tc>
          <w:tcPr>
            <w:tcW w:w="7740" w:type="dxa"/>
            <w:tcBorders>
              <w:top w:val="single" w:sz="4" w:space="0" w:color="auto"/>
              <w:bottom w:val="single" w:sz="4" w:space="0" w:color="auto"/>
            </w:tcBorders>
          </w:tcPr>
          <w:p w14:paraId="44B51F12"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Angiogenesis, immunomodulation, and anti-apoptotic activity</w:t>
            </w:r>
          </w:p>
        </w:tc>
      </w:tr>
      <w:tr w:rsidR="003E5BE8" w:rsidRPr="003E5BE8" w14:paraId="151E9FA6" w14:textId="77777777" w:rsidTr="003E5BE8">
        <w:tc>
          <w:tcPr>
            <w:tcW w:w="1260" w:type="dxa"/>
            <w:tcBorders>
              <w:top w:val="single" w:sz="4" w:space="0" w:color="auto"/>
              <w:bottom w:val="single" w:sz="4" w:space="0" w:color="auto"/>
            </w:tcBorders>
          </w:tcPr>
          <w:p w14:paraId="0A7C0416"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N</w:t>
            </w:r>
            <w:r w:rsidRPr="003E5BE8">
              <w:rPr>
                <w:rFonts w:ascii="Times New Roman" w:hAnsi="Times New Roman" w:cs="Times New Roman"/>
                <w:sz w:val="24"/>
                <w:szCs w:val="24"/>
                <w:shd w:val="clear" w:color="auto" w:fill="FCFCFC"/>
                <w:lang w:val="en-US"/>
              </w:rPr>
              <w:t>G</w:t>
            </w:r>
            <w:r w:rsidRPr="003E5BE8">
              <w:rPr>
                <w:rFonts w:ascii="Times New Roman" w:hAnsi="Times New Roman" w:cs="Times New Roman"/>
                <w:sz w:val="24"/>
                <w:szCs w:val="24"/>
                <w:shd w:val="clear" w:color="auto" w:fill="FCFCFC"/>
              </w:rPr>
              <w:t>F</w:t>
            </w:r>
          </w:p>
        </w:tc>
        <w:tc>
          <w:tcPr>
            <w:tcW w:w="7740" w:type="dxa"/>
            <w:tcBorders>
              <w:top w:val="single" w:sz="4" w:space="0" w:color="auto"/>
              <w:bottom w:val="single" w:sz="4" w:space="0" w:color="auto"/>
            </w:tcBorders>
          </w:tcPr>
          <w:p w14:paraId="52B56CE0"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Neuroprotective effect</w:t>
            </w:r>
          </w:p>
        </w:tc>
      </w:tr>
      <w:tr w:rsidR="003E5BE8" w:rsidRPr="003E5BE8" w14:paraId="4BA2D332" w14:textId="77777777" w:rsidTr="003E5BE8">
        <w:tc>
          <w:tcPr>
            <w:tcW w:w="1260" w:type="dxa"/>
            <w:tcBorders>
              <w:top w:val="single" w:sz="4" w:space="0" w:color="auto"/>
              <w:bottom w:val="single" w:sz="4" w:space="0" w:color="auto"/>
            </w:tcBorders>
          </w:tcPr>
          <w:p w14:paraId="52DF67B7"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lang w:val="en-US"/>
              </w:rPr>
              <w:t>GD</w:t>
            </w:r>
            <w:r w:rsidRPr="003E5BE8">
              <w:rPr>
                <w:rFonts w:ascii="Times New Roman" w:hAnsi="Times New Roman" w:cs="Times New Roman"/>
                <w:sz w:val="24"/>
                <w:szCs w:val="24"/>
                <w:shd w:val="clear" w:color="auto" w:fill="FCFCFC"/>
              </w:rPr>
              <w:t>NF</w:t>
            </w:r>
          </w:p>
        </w:tc>
        <w:tc>
          <w:tcPr>
            <w:tcW w:w="7740" w:type="dxa"/>
            <w:tcBorders>
              <w:top w:val="single" w:sz="4" w:space="0" w:color="auto"/>
              <w:bottom w:val="single" w:sz="4" w:space="0" w:color="auto"/>
            </w:tcBorders>
          </w:tcPr>
          <w:p w14:paraId="5F9AAB19"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Neurotrophic effect</w:t>
            </w:r>
          </w:p>
        </w:tc>
      </w:tr>
      <w:tr w:rsidR="003E5BE8" w:rsidRPr="003E5BE8" w14:paraId="48113D04" w14:textId="77777777" w:rsidTr="003E5BE8">
        <w:tc>
          <w:tcPr>
            <w:tcW w:w="1260" w:type="dxa"/>
            <w:tcBorders>
              <w:top w:val="single" w:sz="4" w:space="0" w:color="auto"/>
              <w:bottom w:val="single" w:sz="4" w:space="0" w:color="auto"/>
            </w:tcBorders>
          </w:tcPr>
          <w:p w14:paraId="408CFB55"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Gal-1</w:t>
            </w:r>
          </w:p>
        </w:tc>
        <w:tc>
          <w:tcPr>
            <w:tcW w:w="7740" w:type="dxa"/>
            <w:tcBorders>
              <w:top w:val="single" w:sz="4" w:space="0" w:color="auto"/>
              <w:bottom w:val="single" w:sz="4" w:space="0" w:color="auto"/>
            </w:tcBorders>
          </w:tcPr>
          <w:p w14:paraId="7B92C15E"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Inhibits proliferation of CD4+ and CD8+ T cells</w:t>
            </w:r>
          </w:p>
        </w:tc>
      </w:tr>
      <w:tr w:rsidR="003E5BE8" w:rsidRPr="003E5BE8" w14:paraId="6343F683" w14:textId="77777777" w:rsidTr="003E5BE8">
        <w:tc>
          <w:tcPr>
            <w:tcW w:w="1260" w:type="dxa"/>
            <w:tcBorders>
              <w:top w:val="single" w:sz="4" w:space="0" w:color="auto"/>
              <w:bottom w:val="single" w:sz="4" w:space="0" w:color="auto"/>
            </w:tcBorders>
          </w:tcPr>
          <w:p w14:paraId="585EA4AF"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Gal-9</w:t>
            </w:r>
          </w:p>
        </w:tc>
        <w:tc>
          <w:tcPr>
            <w:tcW w:w="7740" w:type="dxa"/>
            <w:tcBorders>
              <w:top w:val="single" w:sz="4" w:space="0" w:color="auto"/>
              <w:bottom w:val="single" w:sz="4" w:space="0" w:color="auto"/>
            </w:tcBorders>
          </w:tcPr>
          <w:p w14:paraId="41E0AC6F" w14:textId="77777777" w:rsidR="003E5BE8" w:rsidRPr="003E5BE8" w:rsidRDefault="003E5BE8" w:rsidP="0008456D">
            <w:pPr>
              <w:pStyle w:val="ListParagraph"/>
              <w:spacing w:line="360" w:lineRule="auto"/>
              <w:ind w:left="0"/>
              <w:jc w:val="center"/>
              <w:rPr>
                <w:rFonts w:ascii="Times New Roman" w:hAnsi="Times New Roman" w:cs="Times New Roman"/>
                <w:sz w:val="24"/>
                <w:szCs w:val="24"/>
                <w:shd w:val="clear" w:color="auto" w:fill="FCFCFC"/>
              </w:rPr>
            </w:pPr>
            <w:r w:rsidRPr="003E5BE8">
              <w:rPr>
                <w:rFonts w:ascii="Times New Roman" w:hAnsi="Times New Roman" w:cs="Times New Roman"/>
                <w:sz w:val="24"/>
                <w:szCs w:val="24"/>
                <w:shd w:val="clear" w:color="auto" w:fill="FCFCFC"/>
              </w:rPr>
              <w:t>Induces T cells death</w:t>
            </w:r>
          </w:p>
        </w:tc>
      </w:tr>
      <w:bookmarkEnd w:id="0"/>
    </w:tbl>
    <w:p w14:paraId="60AD0312" w14:textId="77777777" w:rsidR="003E5BE8" w:rsidRDefault="003E5BE8" w:rsidP="003E5BE8">
      <w:pPr>
        <w:jc w:val="both"/>
        <w:rPr>
          <w:rFonts w:ascii="Times New Roman" w:hAnsi="Times New Roman" w:cs="Times New Roman"/>
          <w:sz w:val="24"/>
          <w:szCs w:val="24"/>
          <w:shd w:val="clear" w:color="auto" w:fill="FCFCFC"/>
        </w:rPr>
      </w:pPr>
    </w:p>
    <w:p w14:paraId="148858DE" w14:textId="31366929" w:rsidR="008C0E11" w:rsidRPr="003E5BE8" w:rsidRDefault="00A34DC4" w:rsidP="00A34DC4">
      <w:pPr>
        <w:jc w:val="both"/>
        <w:rPr>
          <w:rFonts w:ascii="Times New Roman" w:hAnsi="Times New Roman" w:cs="Times New Roman"/>
          <w:sz w:val="24"/>
          <w:szCs w:val="24"/>
        </w:rPr>
      </w:pPr>
      <w:r w:rsidRPr="002E3D58">
        <w:rPr>
          <w:rFonts w:ascii="Times New Roman" w:hAnsi="Times New Roman" w:cs="Times New Roman"/>
          <w:sz w:val="24"/>
          <w:szCs w:val="24"/>
          <w:shd w:val="clear" w:color="auto" w:fill="FCFCFC"/>
        </w:rPr>
        <w:t xml:space="preserve">Abbreviations: </w:t>
      </w:r>
      <w:r w:rsidRPr="002E3D58">
        <w:rPr>
          <w:rFonts w:ascii="Times New Roman" w:hAnsi="Times New Roman" w:cs="Times New Roman"/>
          <w:sz w:val="24"/>
          <w:szCs w:val="24"/>
          <w:shd w:val="clear" w:color="auto" w:fill="FFFFFF"/>
        </w:rPr>
        <w:t>Transforming growth factor beta (TGF-β), natural killer cells (NK), dendritic cells (DCs)</w:t>
      </w:r>
      <w:r>
        <w:rPr>
          <w:rFonts w:ascii="Times New Roman" w:hAnsi="Times New Roman" w:cs="Times New Roman"/>
          <w:sz w:val="24"/>
          <w:szCs w:val="24"/>
          <w:shd w:val="clear" w:color="auto" w:fill="FFFFFF"/>
        </w:rPr>
        <w:t xml:space="preserve">, </w:t>
      </w:r>
      <w:r w:rsidRPr="002E3D58">
        <w:rPr>
          <w:rFonts w:ascii="Times New Roman" w:hAnsi="Times New Roman" w:cs="Times New Roman"/>
          <w:sz w:val="24"/>
          <w:szCs w:val="24"/>
          <w:shd w:val="clear" w:color="auto" w:fill="FCFCFC"/>
        </w:rPr>
        <w:t>p</w:t>
      </w:r>
      <w:r w:rsidRPr="002E3D58">
        <w:rPr>
          <w:rFonts w:ascii="Times New Roman" w:hAnsi="Times New Roman" w:cs="Times New Roman"/>
          <w:sz w:val="24"/>
          <w:szCs w:val="24"/>
          <w:shd w:val="clear" w:color="auto" w:fill="FFFFFF"/>
        </w:rPr>
        <w:t>rostaglandin E2 (</w:t>
      </w:r>
      <w:r w:rsidRPr="002E3D58">
        <w:rPr>
          <w:rFonts w:ascii="Times New Roman" w:hAnsi="Times New Roman" w:cs="Times New Roman"/>
          <w:sz w:val="24"/>
          <w:szCs w:val="24"/>
          <w:shd w:val="clear" w:color="auto" w:fill="FCFCFC"/>
        </w:rPr>
        <w:t xml:space="preserve">PGE2), </w:t>
      </w:r>
      <w:r w:rsidRPr="002E3D58">
        <w:rPr>
          <w:rFonts w:ascii="Times New Roman" w:hAnsi="Times New Roman" w:cs="Times New Roman"/>
          <w:sz w:val="24"/>
          <w:szCs w:val="24"/>
          <w:shd w:val="clear" w:color="auto" w:fill="FFFFFF"/>
        </w:rPr>
        <w:t>peripheral blood mononuclear cells (PBMCs)</w:t>
      </w:r>
      <w:r>
        <w:rPr>
          <w:rFonts w:ascii="Times New Roman" w:hAnsi="Times New Roman" w:cs="Times New Roman"/>
          <w:sz w:val="24"/>
          <w:szCs w:val="24"/>
          <w:shd w:val="clear" w:color="auto" w:fill="FFFFFF"/>
        </w:rPr>
        <w:t xml:space="preserve">, </w:t>
      </w:r>
      <w:r w:rsidRPr="002E3D58">
        <w:rPr>
          <w:rFonts w:ascii="Times New Roman" w:hAnsi="Times New Roman" w:cs="Times New Roman"/>
          <w:sz w:val="24"/>
          <w:szCs w:val="24"/>
          <w:shd w:val="clear" w:color="auto" w:fill="FFFFFF"/>
        </w:rPr>
        <w:t xml:space="preserve">vascular endothelial growth factor (VEGF), T helper 1 cells (Th1), T helper 17 cells (Th17), Indoleamine-2,3-dioxygenase (IDO), monocyte chemoattractant protein-1 (CCL2/MCP-1), interleukin-6 (IL-6), tumor necrosis factor-inducible gene 6 protein (TSG6), hepatocyte growth factor-1 (HGF-1), </w:t>
      </w:r>
      <w:r w:rsidRPr="002E3D58">
        <w:rPr>
          <w:rFonts w:ascii="Times New Roman" w:hAnsi="Times New Roman" w:cs="Times New Roman"/>
          <w:sz w:val="24"/>
          <w:szCs w:val="24"/>
          <w:shd w:val="clear" w:color="auto" w:fill="FFFFFF"/>
        </w:rPr>
        <w:lastRenderedPageBreak/>
        <w:t>nerve growth factor (NGF)</w:t>
      </w:r>
      <w:r>
        <w:rPr>
          <w:rFonts w:ascii="Times New Roman" w:hAnsi="Times New Roman" w:cs="Times New Roman"/>
          <w:sz w:val="24"/>
          <w:szCs w:val="24"/>
          <w:shd w:val="clear" w:color="auto" w:fill="FFFFFF"/>
        </w:rPr>
        <w:t xml:space="preserve">, </w:t>
      </w:r>
      <w:r w:rsidRPr="002E3D58">
        <w:rPr>
          <w:rFonts w:ascii="Times New Roman" w:hAnsi="Times New Roman" w:cs="Times New Roman"/>
          <w:sz w:val="24"/>
          <w:szCs w:val="24"/>
        </w:rPr>
        <w:t>glial cell-derived neurotrophic factor (GDNF)</w:t>
      </w:r>
      <w:r>
        <w:rPr>
          <w:rFonts w:ascii="Times New Roman" w:hAnsi="Times New Roman" w:cs="Times New Roman"/>
          <w:sz w:val="24"/>
          <w:szCs w:val="24"/>
        </w:rPr>
        <w:t>,</w:t>
      </w:r>
      <w:r w:rsidRPr="0097547E">
        <w:rPr>
          <w:rFonts w:ascii="Times New Roman" w:hAnsi="Times New Roman" w:cs="Times New Roman"/>
          <w:sz w:val="24"/>
          <w:szCs w:val="24"/>
          <w:shd w:val="clear" w:color="auto" w:fill="FFFFFF"/>
        </w:rPr>
        <w:t xml:space="preserve"> </w:t>
      </w:r>
      <w:r w:rsidRPr="002E3D58">
        <w:rPr>
          <w:rFonts w:ascii="Times New Roman" w:hAnsi="Times New Roman" w:cs="Times New Roman"/>
          <w:sz w:val="24"/>
          <w:szCs w:val="24"/>
          <w:shd w:val="clear" w:color="auto" w:fill="FFFFFF"/>
        </w:rPr>
        <w:t>galectin-1 (Gal-1), galectin-9 (Gal-9)</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CFCFC"/>
        </w:rPr>
        <w:fldChar w:fldCharType="begin" w:fldLock="1"/>
      </w:r>
      <w:r>
        <w:rPr>
          <w:rFonts w:ascii="Times New Roman" w:hAnsi="Times New Roman" w:cs="Times New Roman"/>
          <w:sz w:val="24"/>
          <w:szCs w:val="24"/>
          <w:shd w:val="clear" w:color="auto" w:fill="FCFCFC"/>
        </w:rPr>
        <w:instrText>ADDIN CSL_CITATION {"citationItems":[{"id":"ITEM-1","itemData":{"DOI":"10.1007/82","ISBN":"0260-2938","ISSN":"0260-2938","PMID":"1275585","abstract":"This article reports the findings of research into the student experience of assessment in school/college and higher education, and the impact of transition upon student perceptions of feedback quality. It involved a qualitative study of 23 staff and 145 students in six schools/colleges and three English universities across three disciplines. Results show that students experience a radically different culture of feedback in schools/colleges and higher education, with the former providing extensive formative feedback and guidance, while the latter focuses upon independent learning judged summatively. Students perceived quality feedback as part of a dialogic guidance process rather than a summative event. A model is proposed, the Dialogic Feedback Cycle, to describe student experiences at school/college, and suggestions are made as to how it can be used as a tool to scaffold the development of independent learning throughout the first year of university study.\\nThis article reports the findings of research into the student experience of assessment in school/college and higher education, and the impact of transition upon student perceptions of feedback quality. It involved a qualitative study of 23 staff and 145 students in six schools/colleges and three English universities across three disciplines. Results show that students experience a radically different culture of feedback in schools/colleges and higher education, with the former providing extensive formative feedback and guidance, while the latter focuses upon independent learning judged summatively. Students perceived quality feedback as part of a dialogic guidance process rather than a summative event. A model is proposed, the Dialogic Feedback Cycle, to describe student experiences at school/college, and suggestions are made as to how it can be used as a tool to scaffold the development of independent learning throughout the first year of university study.","author":[{"dropping-particle":"","family":"Yoshimura","given":"Akihiko","non-dropping-particle":"","parse-names":false,"suffix":""},{"dropping-particle":"","family":"Muto","given":"Go","non-dropping-particle":"","parse-names":false,"suffix":""}],"container-title":"Curr Top Microbiol Immunol.","id":"ITEM-1","issue":"350","issued":{"date-parts":[["2011"]]},"page":"127-47","title":"TGF-β function in immune suppression","type":"article-journal"},"uris":["http://www.mendeley.com/documents/?uuid=89ea8a71-4479-49cc-a9f1-dc76fb75b558"]},{"id":"ITEM-2","itemData":{"DOI":"10.1182/blood-2010-09-307835","ISSN":"00064971","PMID":"21715307","abstract":"Among prostaglandins (PGs), PGE2 is abundantly expressed in various malignancies and is probably one of many factors promoting tumor growth by inhibiting tumor immune surveillance. In the current study, we report on a novel mechanism by which PGE2 inhibits in vitro natural killer-dendritic cell (NK-DC) cross-talk and thereby innate and adaptive immune responses via its effect on NK-DC crosstalk. The presence of PGE2 during IFN-γ/membrane fraction of Klebsiella pneumoniae DC maturation inhibits the production of chemokines (CCL5, CCL19, and CXCL10) and cytokines (IL-12 and IL-18), which is cAMP-dependent and imprinted during DC maturation. As a consequence, these DCs fail to attract NK cells and show a decreased capacity to trigger NK cell IFN-γ production, which in turn leads to reduced T-helper 1 polarization. In addition, the presence of PGE2 during DC maturation impairs DC-mediated augmentation of NK-cell cytotoxicity. Opposed to their inhibitory effects on peripheral blood-derived NK cells, PGE2 matured DCs induce IL-22 secretion of inflammation constraining NKp44+ NK cells present in mucosa-associated lymphoid tissue. The inhibition of NK-DC interaction is a novel regulatory property of PGE2 that is of possible relevance in dampening immune responses in vivo. © 2011 by The American Society of Hematology.","author":[{"dropping-particle":"","family":"Elssen","given":"Catharina H.M.J.","non-dropping-particle":"Van","parse-names":false,"suffix":""},{"dropping-particle":"","family":"Vanderlocht","given":"Joris","non-dropping-particle":"","parse-names":false,"suffix":""},{"dropping-particle":"","family":"Oth","given":"Tammy","non-dropping-particle":"","parse-names":false,"suffix":""},{"dropping-particle":"","family":"Senden-Gijsbers","given":"Birgit L.M.G.","non-dropping-particle":"","parse-names":false,"suffix":""},{"dropping-particle":"","family":"Germeraad","given":"Wilfred T.V.","non-dropping-particle":"","parse-names":false,"suffix":""},{"dropping-particle":"","family":"Bos","given":"Gerard M.J.","non-dropping-particle":"","parse-names":false,"suffix":""}],"container-title":"Blood","id":"ITEM-2","issue":"9","issued":{"date-parts":[["2011"]]},"page":"2473-2482","title":"Inflammation restraining effects of prostaglandin E2 on natural killer-dendritic cell (NK-DC) interaction are imprinted during DC maturation","type":"article-journal","volume":"118"},"uris":["http://www.mendeley.com/documents/?uuid=299d3ba4-08f4-44cf-9caf-d4bfeae0ed6f"]},{"id":"ITEM-3","itemData":{"DOI":"10.4049/jimmunol.0901566.Vascular","ISBN":"6176321972","ISSN":"15378276","PMID":"1000000221","author":[{"dropping-particle":"","family":"Kim","given":"You-Sun","non-dropping-particle":"","parse-names":false,"suffix":""},{"dropping-particle":"","family":"Hong","given":"Sung-Wook","non-dropping-particle":"","parse-names":false,"suffix":""},{"dropping-particle":"","family":"Choi","given":"Jun-Pyo","non-dropping-particle":"","parse-names":false,"suffix":""},{"dropping-particle":"","family":"Shin","given":"Tae-Seop","non-dropping-particle":"","parse-names":false,"suffix":""},{"dropping-particle":"","family":"Moon","given":"Hyung-Geun","non-dropping-particle":"","parse-names":false,"suffix":""},{"dropping-particle":"","family":"Choi","given":"Eun-Jung","non-dropping-particle":"","parse-names":false,"suffix":""},{"dropping-particle":"","family":"Jeon","given":"Seong Gyu","non-dropping-particle":"","parse-names":false,"suffix":""},{"dropping-particle":"","family":"Oh","given":"Sun-Young","non-dropping-particle":"","parse-names":false,"suffix":""},{"dropping-particle":"","family":"Song","given":"Gho Yong","non-dropping-particle":"","parse-names":false,"suffix":""},{"dropping-particle":"","family":"Zhu","given":"Zhou","non-dropping-particle":"","parse-names":false,"suffix":""},{"dropping-particle":"","family":"Kim","given":"Yoon-Keun","non-dropping-particle":"","parse-names":false,"suffix":""}],"container-title":"J Immunol.","id":"ITEM-3","issue":"8","issued":{"date-parts":[["2009"]]},"page":"5113-5120","title":"Vascular Endothelial Growth Factor Is a Key Mediator in the Development of T Cell Priming and Its Polarization to Type 1 and Type 17 T Helper Cells in the Airways","type":"article-journal","volume":"183"},"uris":["http://www.mendeley.com/documents/?uuid=2af74cff-0efb-47ed-b5c6-5b86b9f94316"]},{"id":"ITEM-4","itemData":{"DOI":"10.4252/wjsc.v6.i5.552","ISSN":"1948-0210","abstract":"According to the minimal criteria of the International Society of Cellular Therapy, mesenchymal stem cells (MSCs) are a population of undifferentiated cells defined by their ability to adhere to plastic surfaces when cultured under standard conditions, express a certain panel of phenotypic markers and can differentiate into osteogenic, chondrogenic and adipogenic lineages when cultured in specific inducing media. In parallel with their major role as undifferentiated cell reserves, MSCs have immunomodulatory functions which are exerted by direct cell-to-cell contacts, secretion of cytokines and/or by a combination of both mechanisms. There are no convincing data about a principal difference in the profile of cytokines secreted by MSCs isolated from different tissue sources, although some papers report some quantitative but not qualitative differences in cytokine secretion. The present review focuses on the basic cytokines secreted by MSCs as described in the literature by which the MSCs exert immunodulatory effects. It should be pointed out that MSCs themselves are objects of cytokine regulation. Hypothetical mechanisms by which the MSCs exert their immunoregulatory effects are also discussed in this review. These mechanisms may either influence the target immune cells directly or indirectly by affecting the activities of predominantly dendritic cells. Chemokines are also discussed as participants in this process by recruiting cells of the immune systems and thus making them targets of immunosuppression. This review aims to present and discuss the published data and the personal experience of the authors regarding cytokines secreted by MSCs and their effects on the cells of the immune system.","author":[{"dropping-particle":"","family":"Kyurkchiev","given":"Dobroslav","non-dropping-particle":"","parse-names":false,"suffix":""},{"dropping-particle":"","family":"Bochev","given":"Ivan","non-dropping-particle":"","parse-names":false,"suffix":""},{"dropping-particle":"","family":"Ivanova-Todorova","given":"Ekaterina","non-dropping-particle":"","parse-names":false,"suffix":""},{"dropping-particle":"","family":"Mourdjeva","given":"Milena","non-dropping-particle":"","parse-names":false,"suffix":""},{"dropping-particle":"","family":"Oreshkova","given":"Tsvetelina","non-dropping-particle":"","parse-names":false,"suffix":""},{"dropping-particle":"","family":"Belemezova","given":"Kalina","non-dropping-particle":"","parse-names":false,"suffix":""},{"dropping-particle":"","family":"Kyurkchiev","given":"Stanimir","non-dropping-particle":"","parse-names":false,"suffix":""}],"container-title":"World Journal of Stem Cells","id":"ITEM-4","issue":"5","issued":{"date-parts":[["2014"]]},"page":"552","title":"Secretion of immunoregulatory cytokines by mesenchymal stem cells","type":"article-journal","volume":"6"},"uris":["http://www.mendeley.com/documents/?uuid=22f46da2-5e57-438e-99aa-a1bc38e78340"]},{"id":"ITEM-5","itemData":{"DOI":"10.1590/0074-0276130252","ISSN":"00740276","PMID":"24141959","abstract":"Dendritic cells (DCs) are antigen (Ag)-presenting cells that activate and stimulate effective immune responses by T cells, but can also act as negative regulators of these responses and thus play important roles in immune regulation. Pro-angiogenic vascular endothelial growth factor (VEGF) has been shown to cause defective DC differentiation and maturation. Previous studies have demonstrated that the addition of VEGF to DC cultures renders these cells weak stimulators of Ag-specific T cells due to the inhibitory effects mediated by VEGF receptor 1 (VEGFR1) and/or VEGFR2 signalling. As the enzyme indoleamine 2,3-dioxygenase (IDO) is recognised as an important negative regulator of immune responses, this study aimed to investigate whether VEGF affects the expression of IDO by DCs and whether VEGF-matured DCs acquire a suppressor phenotype. Our results are the first to demonstrate that VEGF increases the expression and activity of IDO in DCs, which has a suppressive effect on Ag-specific and mitogen-stimulated lymphocyte proliferation. These mechanisms have broad implications for the study of immunological responses and tolerance under conditions as diverse as cancer, graft rejection and autoimmunity.","author":[{"dropping-particle":"","family":"Marti","given":"Luciana Cavalheiro","non-dropping-particle":"","parse-names":false,"suffix":""},{"dropping-particle":"","family":"Pavon","given":"Lorena","non-dropping-particle":"","parse-names":false,"suffix":""},{"dropping-particle":"","family":"Severino","given":"Patricia","non-dropping-particle":"","parse-names":false,"suffix":""},{"dropping-particle":"","family":"Sibov","given":"Tatiana","non-dropping-particle":"","parse-names":false,"suffix":""},{"dropping-particle":"","family":"Guilhen","given":"Daiane","non-dropping-particle":"","parse-names":false,"suffix":""},{"dropping-particle":"","family":"Moreira-Filho","given":"Carlos Alberto","non-dropping-particle":"","parse-names":false,"suffix":""}],"container-title":"Memorias do Instituto Oswaldo Cruz","id":"ITEM-5","issue":"1","issued":{"date-parts":[["2014"]]},"page":"70-79","title":"Vascular endothelial growth factor-A enhances indoleamine 2,3-dioxygenase expression by dendritic cells and subsequently impacts lymphocyte proliferation","type":"article-journal","volume":"109"},"uris":["http://www.mendeley.com/documents/?uuid=90ac1d9d-b937-4266-ab1e-dfa32c9472ea"]},{"id":"ITEM-6","itemData":{"DOI":"10.4049/jimmunol.0803962","ISSN":"0022-1767","PMID":"19414750","abstract":"The administration of ex vivo culture-expanded mesenchymal stromal cells (MSCs) has been shown to reverse symptomatic neuroinflammation observed in experimental autoimmune encephalomyelitis (EAE). The mechanism by which this therapeutic effect occurs remains unknown. In an effort to decipher MSC mode of action, we found that MSC conditioned medium inhibits EAE-derived CD4 T cell activation by suppressing STAT3 phosphorylation via MSC-derived CCL2. Further analysis demonstrates that the effect is dependent on MSC-driven matrix metalloproteinase proteolytic processing of CCL2 to an antagonistic derivative. We also show that antagonistic CCL2 suppresses phosphorylation of AKT and leads to a reciprocal increased phosphorylation of ERK associated with an up-regulation of B7.H1 in CD4 T cells derived from EAE mice. CD4 T cell infiltration of the spinal cord of MSC-treated group was robustly decreased along with reduced plasma levels of IL-17 and TNF-alpha levels and in vitro from restimulated splenocytes. The key role of MSC-derived CCL2 was confirmed by the observed loss of function of CCL2(-/-) MSCs in EAE mice. In summary, this is the first report of MSCs modulating EAE biology via the paracrine conversion of CCL2 from agonist to antagonist of CD4 Th17 cell function.","author":[{"dropping-particle":"","family":"Rafei","given":"Moutih","non-dropping-particle":"","parse-names":false,"suffix":""},{"dropping-particle":"","family":"Campeau","given":"Philippe M.","non-dropping-particle":"","parse-names":false,"suffix":""},{"dropping-particle":"","family":"Aguilar-Mahecha","given":"Adriana","non-dropping-particle":"","parse-names":false,"suffix":""},{"dropping-particle":"","family":"Buchanan","given":"Marguerite","non-dropping-particle":"","parse-names":false,"suffix":""},{"dropping-particle":"","family":"Williams","given":"Patrick","non-dropping-particle":"","parse-names":false,"suffix":""},{"dropping-particle":"","family":"Birman","given":"Elena","non-dropping-particle":"","parse-names":false,"suffix":""},{"dropping-particle":"","family":"Yuan","given":"Shala","non-dropping-particle":"","parse-names":false,"suffix":""},{"dropping-particle":"","family":"Young","given":"Yoon Kow","non-dropping-particle":"","parse-names":false,"suffix":""},{"dropping-particle":"","family":"Boivin","given":"Marie-Noëlle","non-dropping-particle":"","parse-names":false,"suffix":""},{"dropping-particle":"","family":"Forner","given":"Kathy","non-dropping-particle":"","parse-names":false,"suffix":""},{"dropping-particle":"","family":"Basik","given":"Mark","non-dropping-particle":"","parse-names":false,"suffix":""},{"dropping-particle":"","family":"Galipeau","given":"Jacques","non-dropping-particle":"","parse-names":false,"suffix":""}],"container-title":"The Journal of Immunology","id":"ITEM-6","issue":"10","issued":{"date-parts":[["2009"]]},"page":"5994-6002","title":"Mesenchymal Stromal Cells Ameliorate Experimental Autoimmune Encephalomyelitis by Inhibiting CD4 Th17 T Cells in a CC Chemokine Ligand 2-Dependent Manner","type":"article-journal","volume":"182"},"uris":["http://www.mendeley.com/documents/?uuid=093306cb-c749-414e-b246-6d8d238b23da"]},{"id":"ITEM-7","itemData":{"DOI":"10.1016/j.autrev.2011.01.005","ISSN":"15689972","PMID":"21256250","abstract":"Mesenchymal stem cells (MSCs) are non-hematopoietic, multipotent progenitor cells which can be isolated from various human adult tissues. In recent years, MSCs have been shown to possess broad immunoregulatory capabilities, modulating both adaptive and innate immunity. This review discusses the documented immunomodulatory capabilities of the MSCs, the possible mechanisms underlying these functions and presents the potential of using this stem cell-based approach as an immunomodulatory tool for the treatment of autoimmune diseases. © 2011 Elsevier B.V.","author":[{"dropping-particle":"","family":"Ben-Ami","given":"Eyal","non-dropping-particle":"","parse-names":false,"suffix":""},{"dropping-particle":"","family":"Berrih-Aknin","given":"Sonia","non-dropping-particle":"","parse-names":false,"suffix":""},{"dropping-particle":"","family":"Miller","given":"Ariel","non-dropping-particle":"","parse-names":false,"suffix":""}],"container-title":"Autoimmunity Reviews","id":"ITEM-7","issue":"7","issued":{"date-parts":[["2011"]]},"page":"410-415","publisher":"Elsevier B.V.","title":"Mesenchymal stem cells as an immunomodulatory therapeutic strategy for autoimmune diseases","type":"article-journal","volume":"10"},"uris":["http://www.mendeley.com/documents/?uuid=6e7c1620-e05e-4fbb-91d1-0b7d9e95fdb5"]},{"id":"ITEM-8","itemData":{"DOI":"10.1007/s12031-012-9805-6","ISSN":"08958696","PMID":"22638856","abstract":"Stem cell-based regenerative medicine raises great hope for the treatment of multiple sclerosis (MS). Bone marrow-derived mesenchymal stem cells (BM-MSCs) are being tested in clinical trials. Bone marrow is the traditional source of human MSCs, but human term placenta appears to be an excellent alternative because of its availability, without ethical issues. In this study, the therapeutic effect of human placental MSCs (PL-MSCs) was evaluated in experimental autoimmune encephalomyelitis (EAE), the mice model of MS. EAE mice were transplanted intra-cerebrally with PL-MSCs or with the vehicle saline 5 or 10 days after first MOG injection. The mice were monitored for a month after therapy. A daily EAE score revealed a decrease in disease severity in the transplanted animals when compared to saline. Survival was significantly higher in the transplanted animals. In vitro experiments demonstrated that conditioned media from LPS-activated astrocytes stimulated PL-MSCs to express the gene TNF-α-stimulated gene/protein 6 (TSG-6). The same mRNA expression was obtained when PL-MSCs were exposed to TNF-α or IL1-β. These results demonstrate that PL-MSCs have a therapeutic effect in the EAE mice model. We assume that this effect is caused by reduction of the anti-inflammatory protein, TSG-6, of the inflammatory damage. © 2012 Springer Science+Business Media, LLC.","author":[{"dropping-particle":"","family":"Fisher-Shoval","given":"Yonit","non-dropping-particle":"","parse-names":false,"suffix":""},{"dropping-particle":"","family":"Barhum","given":"Yael","non-dropping-particle":"","parse-names":false,"suffix":""},{"dropping-particle":"","family":"Sadan","given":"Ofer","non-dropping-particle":"","parse-names":false,"suffix":""},{"dropping-particle":"","family":"Yust-Katz","given":"Shlomit","non-dropping-particle":"","parse-names":false,"suffix":""},{"dropping-particle":"","family":"Ben-Zur","given":"Tali","non-dropping-particle":"","parse-names":false,"suffix":""},{"dropping-particle":"","family":"Lev","given":"Nirit","non-dropping-particle":"","parse-names":false,"suffix":""},{"dropping-particle":"","family":"Benkler","given":"Chen","non-dropping-particle":"","parse-names":false,"suffix":""},{"dropping-particle":"","family":"Hod","given":"Moshe","non-dropping-particle":"","parse-names":false,"suffix":""},{"dropping-particle":"","family":"Melamed","given":"Eldad","non-dropping-particle":"","parse-names":false,"suffix":""},{"dropping-particle":"","family":"Offen","given":"Daniel","non-dropping-particle":"","parse-names":false,"suffix":""}],"container-title":"Journal of Molecular Neuroscience","id":"ITEM-8","issue":"1","issued":{"date-parts":[["2012"]]},"page":"176-184","title":"Transplantation of placenta-derived mesenchymal stem cells in the EAE mouse model of MS","type":"article-journal","volume":"48"},"uris":["http://www.mendeley.com/documents/?uuid=45f1f854-b5e9-407e-b726-e51b10a978df"]},{"id":"ITEM-9","itemData":{"DOI":"10.1167/iovs.17-21506","ISSN":"15525783","PMID":"28810264","abstract":"PURPOSE. To explore the role and mechanism of bone marrow-derived mesenchymal stem cells (BM-MSCs) in corneal epithelial wound healing in type 1 diabetic mice. METHODS. Diabetic mice were treated with subconjunctival injections of BM-MSCs or recombinant tumor necrosis factor-α-stimulated gene/protein-6 (TSG-6). The corneal epithelial wound healing rate was examined by fluorescein staining. The mRNA and protein expression levels of TSG-6 were measured by quantitative RT-PCR and Western blot. The infiltrations of leukocytes and macrophages were analyzed by flow cytometry and immunofluoresence staining. The effect of TSG-6 was further evaluated in cultured limbal epithelial stem/progenitor cells, macrophages, and diabetic mice by short hairpin RNA (shRNA) knockdown. RESULTS. Local MSC transplantation significantly promoted diabetic corneal epithelial wound healing, accompanied by elevated corneal TSG-6 expression, increased corneal epithelial cell proliferation, and attenuated inflammatory response. Moreover, in cultured human limbal epithelial stem/progenitor cells, TSG-6 enhanced the colony-forming efficiency, stimulated mitogenic proliferation, and upregulated the expression level of ΔNp63. Furthermore, in diabetic mouse cornea and in vitro macrophage culture, TSG-6 alleviated leukocyte infiltration and promoted the polarization of recruited macrophages to anti-inflammatory M2 phenotypes with increased phagocytotic capacity. In addition, the promotion of epithelial stem/progenitor cell activation and macrophage polarization by MSC transplantation was largely abrogated by shRNA knockdown of TSG-6. CONCLUSIONS. This study provided the first evidence of TSG-6 secreted by MSCs promoting corneal epithelial wound healing in diabetic mice through activating corneal epithelial stem/progenitor cells and accelerating M2 macrophage polarization.","author":[{"dropping-particle":"","family":"Di","given":"Guohu","non-dropping-particle":"","parse-names":false,"suffix":""},{"dropping-particle":"","family":"Du","given":"Xianli","non-dropping-particle":"","parse-names":false,"suffix":""},{"dropping-particle":"","family":"Qi","given":"Xia","non-dropping-particle":"","parse-names":false,"suffix":""},{"dropping-particle":"","family":"Zhao","given":"Xiaowen","non-dropping-particle":"","parse-names":false,"suffix":""},{"dropping-particle":"","family":"Duan","given":"Haoyun","non-dropping-particle":"","parse-names":false,"suffix":""},{"dropping-particle":"","family":"Li","given":"Suxia","non-dropping-particle":"","parse-names":false,"suffix":""},{"dropping-particle":"","family":"Xie","given":"Lixin","non-dropping-particle":"","parse-names":false,"suffix":""},{"dropping-particle":"","family":"Zhou","given":"Qingjun","non-dropping-particle":"","parse-names":false,"suffix":""}],"container-title":"Investigative Ophthalmology and Visual Science","id":"ITEM-9","issue":"10","issued":{"date-parts":[["2017"]]},"page":"4064-4074","title":"Mesenchymal stem cells promote diabetic corneal epithelial wound healing through TSG-6-dependent stem cell activation and macrophage switch","type":"article-journal","volume":"58"},"uris":["http://www.mendeley.com/documents/?uuid=d3bd19b6-fa7a-4d25-91af-29083d5d223e"]},{"id":"ITEM-10","itemData":{"DOI":"10.4103/1673-5374.276338","ISSN":"18767958","abstract":"Neurotrophins play a major role in the regulation of neuronal growth such as neurite sprouting or regeneration in response to nerve injuries. The role of nerve growth factor, neurotrophin-3, and brain-derived neurotrophic factor in maintaining the survival of peripheral neurons remains poorly understood. In regenerative medicine, different modalities have been investigated for the delivery of growth factors to the injured neurons, in search of a suitable system for clinical applications. This study was to investigate the influence of nerve growth factor, neurotrophin-3 and brain-derived neurotrophic factor on the growth of neurites using two in vitro models of dorsal root ganglia explants and dorsal root ganglia-derived primary cell dissociated cultures. Quantitative data showed that the total neurite length and tortuosity were differently influenced by trophic factors. Nerve growth factor and, indirectly, brain-derived neurotrophic factor stimulate the tortuous growth of sensory fibers and the formation of cell clusters. Neurotrophin-3, however, enhances neurite growth in terms of length and linearity allowing for a more organized and directed axonal elongation towards a peripheral target compared to the other growth factors. These findings could be of considerable importance for any clinical application of neurotrophic factors in peripheral nerve regeneration. Ethical approval was obtained from the Regione Piemonte Animal Ethics Committee ASLTO1 (file # 864/2016-PR) on September 14, 2016.","author":[{"dropping-particle":"","family":"Fornaro","given":"Michele","non-dropping-particle":"","parse-names":false,"suffix":""},{"dropping-particle":"","family":"Giovannelli","given":"Alessia","non-dropping-particle":"","parse-names":false,"suffix":""},{"dropping-particle":"","family":"Foggetti","given":"Angelica","non-dropping-particle":"","parse-names":false,"suffix":""},{"dropping-particle":"","family":"Muratori","given":"Luisa","non-dropping-particle":"","parse-names":false,"suffix":""},{"dropping-particle":"","family":"Geuna","given":"Stefano","non-dropping-particle":"","parse-names":false,"suffix":""},{"dropping-particle":"","family":"Novajra","given":"Giorgia","non-dropping-particle":"","parse-names":false,"suffix":""},{"dropping-particle":"","family":"Perroteau","given":"Isabelle","non-dropping-particle":"","parse-names":false,"suffix":""}],"container-title":"Neural Regeneration Research","id":"ITEM-10","issue":"9","issued":{"date-parts":[["2020"]]},"page":"1732-1739","title":"Role of neurotrophic factors in enhancing linear axonal growth of ganglionic sensory neurons in vitro","type":"article-journal","volume":"15"},"uris":["http://www.mendeley.com/documents/?uuid=695cb09f-1729-480c-80fd-982392ee38fa"]},{"id":"ITEM-11","itemData":{"DOI":"10.1186/s12967-014-0260-8","ISSN":"14795876","PMID":"25304688","abstract":"The mesenchymal stem cell (MSC) is being broadly studied in clinical trials. Contrary to the early paradigm of cell replacement and differentiation as a therapeutic mechanism of action, evidence is mounting that the secretions of the cells are responsible for their therapeutic effects. These secretions include molecules and extracellular vesicles that have both local and distant effects. This review summarizes the up- and down-regulation of MSC anti-inflammatory, immune modulating, anti-tumor, and regenerative secretions resulting from different stimuli including: a) hypoxia, which increases the production of growth factors and anti-inflammatory molecules; b) pro-inflammatory stimuli that induce the secretion of immune modulating and anti-inflammatory factors; and c) 3 dimensional growth which up regulates the production of anti-cancer factors and anti-inflammatory molecules compared to monolayer culture. Finally we review in detail the most important factors present in conditioned medium of MSC that can be considered protagonists of MSC physiological effects including HGF, TGF-b, VEGF, TSG-6, PGE2 and galectins 1, and 9. We conclude that there is potential for the development of acellular therapeutic interventions for autoimmune, inflammatory, and malignant diseases and tissue regeneration from cellular secretions derived from MSCs cultured under the appropriate conditions.","author":[{"dropping-particle":"","family":"Madrigal","given":"Marialaura","non-dropping-particle":"","parse-names":false,"suffix":""},{"dropping-particle":"","family":"Rao","given":"Kosagisharaf S.","non-dropping-particle":"","parse-names":false,"suffix":""},{"dropping-particle":"","family":"Riordan","given":"Neil H.","non-dropping-particle":"","parse-names":false,"suffix":""}],"container-title":"Journal of Translational Medicine","id":"ITEM-11","issue":"1","issued":{"date-parts":[["2014"]]},"page":"1-14","title":"A review of therapeutic effects of mesenchymal stem cell secretions and induction of secretory modification by different culture methods","type":"article-journal","volume":"12"},"uris":["http://www.mendeley.com/documents/?uuid=224d3bd2-2b93-4207-a2be-71d758eb1fa1"]},{"id":"ITEM-12","itemData":{"DOI":"10.1002/eji.201343335","ISSN":"00142980","PMID":"23817958","abstract":"Human multipotent mesenchymal stromal cells (MSCs) are clinically applied to treat autoimmune diseases and graft-versus-host disease due to their immunomodulatory properties. Several molecules have been identified to mediate these effects, including constitutively expressed galectin-1. However, there are indications in the literature that MSCs exert enhanced immunosuppressive functions after interaction with an inflammatory environment. Therefore, we analyzed how inflammatory stimuli influence the expression of the galectin network in MSCs and functionally tested the relevance for the immunomodulatory effects of MSCs. We found that galectin-9 was strongly induced in MSCs upon interaction with activated PBMCs. Proinflammatory cytokines, such as interferon-gamma (IFN-γ) and tumor necrosis factor-alpha (TNF-α), and also ligands of the Toll-like receptors (TLRs) TLR2, TLR3, and TLR4 elicited similar induction of galectin-9 in activated PBMCs. Galectin-9 was not only upregulated intracellularly, but also released by MSCs in significant amounts into the supernatant after exposure to proinflammatory stimuli. In proliferation assays, MSCs with a galectin-9 knockdown lost a significant portion of their antiproliferative effects on T cells. In conclusion, we found that unlike constitutively expressed galectin-1, galectin-9 is induced by several proinflammatory stimuli and released by MSCs. Thus, galectin-9 contributes to the inducible immunomodulatory functions of MSCs. © 2013 WILEY-VCH Verlag GmbH &amp; Co. KGaA, Weinheim.","author":[{"dropping-particle":"","family":"Gieseke","given":"Friederike","non-dropping-particle":"","parse-names":false,"suffix":""},{"dropping-particle":"","family":"Kruchen","given":"Anne","non-dropping-particle":"","parse-names":false,"suffix":""},{"dropping-particle":"","family":"Tzaribachev","given":"Nikolay","non-dropping-particle":"","parse-names":false,"suffix":""},{"dropping-particle":"","family":"Bentzien","given":"Frank","non-dropping-particle":"","parse-names":false,"suffix":""},{"dropping-particle":"","family":"Dominici","given":"Massimo","non-dropping-particle":"","parse-names":false,"suffix":""},{"dropping-particle":"","family":"Müller","given":"Ingo","non-dropping-particle":"","parse-names":false,"suffix":""}],"container-title":"European Journal of Immunology","id":"ITEM-12","issue":"10","issued":{"date-parts":[["2013"]]},"page":"2741-2749","title":"Proinflammatory stimuli induce galectin-9 in human mesenchymal stromal cells to suppress T-cell proliferation","type":"article-journal","volume":"43"},"uris":["http://www.mendeley.com/documents/?uuid=68c0bebb-f185-4430-9cde-d895619a64e1"]},{"id":"ITEM-13","itemData":{"DOI":"10.1182/blood-2010-02-270777","ISSN":"00064971","PMID":"20644118","abstract":"Human multipotent mesenchymal stromal cells (MSCs) suppress proliferation and alloreactivity of T cells. Several signaling molecules and enzymes contribute to this effect. We focused on carbohydrate-protein interactions and investigated whether lectins are involved in immune modulation by MSC. Gene expression profiling of MSCs revealed that one of the most important lectins in this setting, galectin-1, was highly expressed. Galectin-1 protein was detected intracellularly and on the cell surface of MSCs. In addition, galectin-1 was released into the cell culture supernatant by MSCs. To analyze the functional role of galectin-1, a stable knockdown of galectin-1 in MSCs with use of a retroviral transfection system was established. Galectin-1 knockdown in MSCs resulted in a significant loss of their immunomodulatory properties, compared with MSCs infected with nontargeting control sequences. The galectin-1 knockdown partially restored the proliferation of CD4+ and CD8+ T cells. By contrast, the effect of MSCs on nonalloreactive natural killer (NK) cells was unaffected by down-regulation of galectin-1 expression. Furthermore, MSC-derived galectin-1 significantly modulated the release of cytokines involved in graft-versus-host disease (GVHD) and autoimmunity (eg, tumor necrosis factor-α [TNFα], IFNγ, interleukin-2 [IL-2], and IL-10. These results identify galectin-1 as the first lectin mediating the immunomodulatory effect of MSCs on allogeneic T cells. © 2010 by The American Society of Hematology.","author":[{"dropping-particle":"","family":"Gieseke","given":"Friederike","non-dropping-particle":"","parse-names":false,"suffix":""},{"dropping-particle":"","family":"Böhringer","given":"Judith","non-dropping-particle":"","parse-names":false,"suffix":""},{"dropping-particle":"","family":"Bussolari","given":"Rita","non-dropping-particle":"","parse-names":false,"suffix":""},{"dropping-particle":"","family":"Dominici","given":"Massimo","non-dropping-particle":"","parse-names":false,"suffix":""},{"dropping-particle":"","family":"Handgretinger","given":"Rupert","non-dropping-particle":"","parse-names":false,"suffix":""},{"dropping-particle":"","family":"Müller","given":"Ingo","non-dropping-particle":"","parse-names":false,"suffix":""}],"container-title":"Blood","id":"ITEM-13","issue":"19","issued":{"date-parts":[["2010"]]},"page":"3770-3779","title":"Human multipotent mesenchymal stromal cells use galectin-1 to inhibit immune effector cells","type":"article-journal","volume":"116"},"uris":["http://www.mendeley.com/documents/?uuid=697aa801-8020-4424-9900-0b093a8b708d"]}],"mendeley":{"formattedCitation":"(Y.-S. Kim et al. 2009; Rafei et al. 2009; Gieseke et al. 2010; Ben-Ami et al. 2011; Van Elssen et al. 2011; Yoshimura en Muto 2011; Fisher-Shoval et al. 2012; Gieseke et al. 2013; Kyurkchiev et al. 2014; Madrigal et al. 2014; Marti et al. 2014; Di et al. 2017; Fornaro et al. 2020)","plainTextFormattedCitation":"(Y.-S. Kim et al. 2009; Rafei et al. 2009; Gieseke et al. 2010; Ben-Ami et al. 2011; Van Elssen et al. 2011; Yoshimura en Muto 2011; Fisher-Shoval et al. 2012; Gieseke et al. 2013; Kyurkchiev et al. 2014; Madrigal et al. 2014; Marti et al. 2014; Di et al. 2017; Fornaro et al. 2020)","previouslyFormattedCitation":"(Y.-S. Kim et al. 2009; Rafei et al. 2009; Ben-Ami et al. 2011; Van Elssen et al. 2011; Yoshimura en Muto 2011; Fisher-Shoval et al. 2012; Kyurkchiev et al. 2014; Madrigal et al. 2014; Marti et al. 2014; Di et al. 2017; Fornaro et al. 2020)"},"properties":{"noteIndex":0},"schema":"https://github.com/citation-style-language/schema/raw/master/csl-citation.json"}</w:instrText>
      </w:r>
      <w:r>
        <w:rPr>
          <w:rFonts w:ascii="Times New Roman" w:hAnsi="Times New Roman" w:cs="Times New Roman"/>
          <w:sz w:val="24"/>
          <w:szCs w:val="24"/>
          <w:shd w:val="clear" w:color="auto" w:fill="FCFCFC"/>
        </w:rPr>
        <w:fldChar w:fldCharType="separate"/>
      </w:r>
      <w:r w:rsidRPr="008C1B4E">
        <w:rPr>
          <w:rFonts w:ascii="Times New Roman" w:hAnsi="Times New Roman" w:cs="Times New Roman"/>
          <w:noProof/>
          <w:sz w:val="24"/>
          <w:szCs w:val="24"/>
          <w:shd w:val="clear" w:color="auto" w:fill="FCFCFC"/>
        </w:rPr>
        <w:t>(Y.-S. Kim et al. 2009; Rafei et al. 2009; Gieseke et al. 2010; Ben-Ami et al. 2011; Van Elssen et al. 2011; Yoshimura en Muto 2011; Fisher-Shoval et al. 2012; Gieseke et al. 2013; Kyurkchiev et al. 2014; Madrigal et al. 2014; Marti et al. 2014; Di et al. 2017; Fornaro et al. 2020)</w:t>
      </w:r>
      <w:r>
        <w:rPr>
          <w:rFonts w:ascii="Times New Roman" w:hAnsi="Times New Roman" w:cs="Times New Roman"/>
          <w:sz w:val="24"/>
          <w:szCs w:val="24"/>
          <w:shd w:val="clear" w:color="auto" w:fill="FCFCFC"/>
        </w:rPr>
        <w:fldChar w:fldCharType="end"/>
      </w:r>
      <w:r>
        <w:rPr>
          <w:rFonts w:ascii="Times New Roman" w:hAnsi="Times New Roman" w:cs="Times New Roman"/>
          <w:sz w:val="24"/>
          <w:szCs w:val="24"/>
          <w:shd w:val="clear" w:color="auto" w:fill="FCFCFC"/>
        </w:rPr>
        <w:t>a</w:t>
      </w:r>
    </w:p>
    <w:sectPr w:rsidR="008C0E11" w:rsidRPr="003E5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E8"/>
    <w:rsid w:val="003E5BE8"/>
    <w:rsid w:val="008C0E11"/>
    <w:rsid w:val="00A3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7741"/>
  <w15:chartTrackingRefBased/>
  <w15:docId w15:val="{C07602C8-F45A-42B6-BE5E-618BAD8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E8"/>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E8"/>
    <w:pPr>
      <w:ind w:left="720"/>
      <w:contextualSpacing/>
    </w:pPr>
  </w:style>
  <w:style w:type="table" w:styleId="TableGrid">
    <w:name w:val="Table Grid"/>
    <w:basedOn w:val="TableNormal"/>
    <w:uiPriority w:val="39"/>
    <w:rsid w:val="003E5BE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3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73B0-CFED-4555-A5F5-3C31BEC3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5598</Words>
  <Characters>31912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saiful hidayat</dc:creator>
  <cp:keywords/>
  <dc:description/>
  <cp:lastModifiedBy>saiful hidayat</cp:lastModifiedBy>
  <cp:revision>1</cp:revision>
  <dcterms:created xsi:type="dcterms:W3CDTF">2021-01-18T08:08:00Z</dcterms:created>
  <dcterms:modified xsi:type="dcterms:W3CDTF">2021-01-18T08:26:00Z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http://www.zotero.org/styles/council-of-science-editors-author-date</vt:lpwstr>
  </property>
  <property fmtid="{D5CDD505-2E9C-101B-9397-08002B2CF9AE}" pid="4" name="Mendeley Unique User Id_1">
    <vt:lpwstr>0246bd88-a095-3eef-9939-76baff8c572c</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http://www.zotero.org/styles/council-of-science-editors-author-date</vt:lpwstr>
  </property>
  <property fmtid="{D5CDD505-2E9C-101B-9397-08002B2CF9AE}" pid="14" name="Mendeley Recent Style Name 4_1">
    <vt:lpwstr>Council of Science Editors, Name-Year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