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Figures</w:t>
      </w:r>
    </w:p>
    <w:p>
      <w:pPr>
        <w:spacing w:line="480" w:lineRule="auto"/>
        <w:ind w:left="396" w:leftChars="0" w:hanging="396" w:hangingChars="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Figure 1. </w:t>
      </w:r>
      <w:r>
        <w:rPr>
          <w:rFonts w:hint="default" w:ascii="Times New Roman" w:hAnsi="Times New Roman" w:cs="Times New Roman"/>
          <w:sz w:val="22"/>
          <w:szCs w:val="22"/>
          <w:lang w:val="en-US"/>
        </w:rPr>
        <w:t>Pipeline</w:t>
      </w:r>
      <w:r>
        <w:rPr>
          <w:rFonts w:hint="default" w:ascii="Times New Roman" w:hAnsi="Times New Roman" w:cs="Times New Roman"/>
          <w:sz w:val="22"/>
          <w:szCs w:val="22"/>
        </w:rPr>
        <w:t xml:space="preserve"> of the </w:t>
      </w:r>
      <w:r>
        <w:rPr>
          <w:rFonts w:hint="default" w:ascii="Times New Roman" w:hAnsi="Times New Roman" w:cs="Times New Roman"/>
          <w:sz w:val="22"/>
          <w:szCs w:val="22"/>
          <w:lang w:val="en-US"/>
        </w:rPr>
        <w:t>study</w:t>
      </w:r>
      <w:r>
        <w:rPr>
          <w:rFonts w:hint="default" w:ascii="Times New Roman" w:hAnsi="Times New Roman" w:cs="Times New Roman"/>
          <w:sz w:val="22"/>
          <w:szCs w:val="22"/>
        </w:rPr>
        <w:t>.</w:t>
      </w:r>
    </w:p>
    <w:p>
      <w:pPr>
        <w:spacing w:line="480" w:lineRule="auto"/>
        <w:ind w:left="396" w:leftChars="0" w:hanging="396" w:hangingChars="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Figure 2. Prediction of </w:t>
      </w:r>
      <w:r>
        <w:rPr>
          <w:rFonts w:hint="default" w:ascii="Times New Roman" w:hAnsi="Times New Roman" w:cs="Times New Roman"/>
          <w:sz w:val="22"/>
          <w:szCs w:val="22"/>
          <w:lang w:val="id-ID"/>
        </w:rPr>
        <w:t xml:space="preserve">the </w:t>
      </w:r>
      <w:r>
        <w:rPr>
          <w:rFonts w:hint="default" w:ascii="Times New Roman" w:hAnsi="Times New Roman" w:cs="Times New Roman"/>
          <w:sz w:val="22"/>
          <w:szCs w:val="22"/>
        </w:rPr>
        <w:t>miR-145 binding site on 3’ UTR of ARF6 mRNA. The second line is the part of the first line (ARF6) and the third line is the part of the fourth line (miR-145). The interacting nucleotides were placed near to each other and highlighted by yellow. U: uracil; A: adenine; G: guanine; C: cytosine.</w:t>
      </w:r>
    </w:p>
    <w:p>
      <w:pPr>
        <w:spacing w:line="480" w:lineRule="auto"/>
        <w:ind w:left="396" w:leftChars="0" w:hanging="396" w:hangingChars="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Figure 3. Secondary </w:t>
      </w:r>
      <w:r>
        <w:rPr>
          <w:rFonts w:hint="default" w:ascii="Times New Roman" w:hAnsi="Times New Roman" w:cs="Times New Roman"/>
          <w:sz w:val="22"/>
          <w:szCs w:val="22"/>
          <w:lang w:val="en-US"/>
        </w:rPr>
        <w:t xml:space="preserve">(A) and tertiary </w:t>
      </w:r>
      <w:r>
        <w:rPr>
          <w:rFonts w:hint="default" w:ascii="Times New Roman" w:hAnsi="Times New Roman" w:cs="Times New Roman"/>
          <w:sz w:val="22"/>
          <w:szCs w:val="22"/>
        </w:rPr>
        <w:t>structure</w:t>
      </w:r>
      <w:r>
        <w:rPr>
          <w:rFonts w:hint="default" w:ascii="Times New Roman" w:hAnsi="Times New Roman" w:cs="Times New Roman"/>
          <w:sz w:val="22"/>
          <w:szCs w:val="22"/>
          <w:lang w:val="en-US"/>
        </w:rPr>
        <w:t>s</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 xml:space="preserve">(B) </w:t>
      </w:r>
      <w:r>
        <w:rPr>
          <w:rFonts w:hint="default" w:ascii="Times New Roman" w:hAnsi="Times New Roman" w:cs="Times New Roman"/>
          <w:sz w:val="22"/>
          <w:szCs w:val="22"/>
        </w:rPr>
        <w:t xml:space="preserve">of RNA molecules. </w:t>
      </w:r>
      <w:r>
        <w:rPr>
          <w:rFonts w:hint="default" w:ascii="Times New Roman" w:hAnsi="Times New Roman" w:cs="Times New Roman"/>
          <w:sz w:val="22"/>
          <w:szCs w:val="22"/>
          <w:lang w:val="en-US"/>
        </w:rPr>
        <w:t>(1)</w:t>
      </w:r>
      <w:r>
        <w:rPr>
          <w:rFonts w:hint="default" w:ascii="Times New Roman" w:hAnsi="Times New Roman" w:cs="Times New Roman"/>
          <w:sz w:val="22"/>
          <w:szCs w:val="22"/>
        </w:rPr>
        <w:t xml:space="preserve"> miR-145; </w:t>
      </w:r>
      <w:r>
        <w:rPr>
          <w:rFonts w:hint="default" w:ascii="Times New Roman" w:hAnsi="Times New Roman" w:cs="Times New Roman"/>
          <w:sz w:val="22"/>
          <w:szCs w:val="22"/>
          <w:lang w:val="en-US"/>
        </w:rPr>
        <w:t>(2)</w:t>
      </w:r>
      <w:r>
        <w:rPr>
          <w:rFonts w:hint="default" w:ascii="Times New Roman" w:hAnsi="Times New Roman" w:cs="Times New Roman"/>
          <w:sz w:val="22"/>
          <w:szCs w:val="22"/>
        </w:rPr>
        <w:t xml:space="preserve"> miRNA-target site of ARF6; </w:t>
      </w:r>
      <w:r>
        <w:rPr>
          <w:rFonts w:hint="default" w:ascii="Times New Roman" w:hAnsi="Times New Roman" w:cs="Times New Roman"/>
          <w:sz w:val="22"/>
          <w:szCs w:val="22"/>
          <w:lang w:val="en-US"/>
        </w:rPr>
        <w:t>(3)</w:t>
      </w:r>
      <w:r>
        <w:rPr>
          <w:rFonts w:hint="default" w:ascii="Times New Roman" w:hAnsi="Times New Roman" w:cs="Times New Roman"/>
          <w:sz w:val="22"/>
          <w:szCs w:val="22"/>
        </w:rPr>
        <w:t xml:space="preserve"> miRNA-mRNA duplex. The colors denoted the conserved region </w:t>
      </w:r>
      <w:r>
        <w:rPr>
          <w:rFonts w:hint="default" w:ascii="Times New Roman" w:hAnsi="Times New Roman" w:cs="Times New Roman"/>
          <w:sz w:val="22"/>
          <w:szCs w:val="22"/>
          <w:lang w:val="id-ID"/>
        </w:rPr>
        <w:t>concerning</w:t>
      </w:r>
      <w:r>
        <w:rPr>
          <w:rFonts w:hint="default" w:ascii="Times New Roman" w:hAnsi="Times New Roman" w:cs="Times New Roman"/>
          <w:sz w:val="22"/>
          <w:szCs w:val="22"/>
        </w:rPr>
        <w:t xml:space="preserve"> the structure based on the base-pair probability parameter, from 0 (blue) to 1 (red).</w:t>
      </w:r>
    </w:p>
    <w:p>
      <w:pPr>
        <w:keepNext w:val="0"/>
        <w:keepLines w:val="0"/>
        <w:pageBreakBefore w:val="0"/>
        <w:kinsoku/>
        <w:wordWrap/>
        <w:overflowPunct/>
        <w:topLinePunct w:val="0"/>
        <w:autoSpaceDE/>
        <w:autoSpaceDN/>
        <w:bidi w:val="0"/>
        <w:adjustRightInd/>
        <w:snapToGrid/>
        <w:spacing w:after="0" w:line="480" w:lineRule="auto"/>
        <w:ind w:left="396" w:leftChars="0" w:hanging="396" w:hangingChars="18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Figure </w:t>
      </w:r>
      <w:r>
        <w:rPr>
          <w:rFonts w:hint="default" w:ascii="Times New Roman" w:hAnsi="Times New Roman" w:cs="Times New Roman"/>
          <w:sz w:val="22"/>
          <w:szCs w:val="22"/>
          <w:lang w:val="en-US"/>
        </w:rPr>
        <w:t>4</w:t>
      </w:r>
      <w:r>
        <w:rPr>
          <w:rFonts w:hint="default" w:ascii="Times New Roman" w:hAnsi="Times New Roman" w:cs="Times New Roman"/>
          <w:sz w:val="22"/>
          <w:szCs w:val="22"/>
        </w:rPr>
        <w:t>. Docking result between (A) miR-145 and (B) miRNA-mRNA duplex with AGO protein. The visualization was done by using PyMOL 2.3.0.</w:t>
      </w:r>
    </w:p>
    <w:p>
      <w:pPr>
        <w:keepNext w:val="0"/>
        <w:keepLines w:val="0"/>
        <w:pageBreakBefore w:val="0"/>
        <w:kinsoku/>
        <w:wordWrap/>
        <w:overflowPunct/>
        <w:topLinePunct w:val="0"/>
        <w:autoSpaceDE/>
        <w:autoSpaceDN/>
        <w:bidi w:val="0"/>
        <w:adjustRightInd/>
        <w:snapToGrid/>
        <w:spacing w:after="0" w:line="480" w:lineRule="auto"/>
        <w:ind w:left="396" w:leftChars="0" w:hanging="396" w:hangingChars="18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Figure </w:t>
      </w:r>
      <w:r>
        <w:rPr>
          <w:rFonts w:hint="default" w:ascii="Times New Roman" w:hAnsi="Times New Roman" w:cs="Times New Roman"/>
          <w:sz w:val="22"/>
          <w:szCs w:val="22"/>
          <w:lang w:val="en-US"/>
        </w:rPr>
        <w:t>5</w:t>
      </w:r>
      <w:r>
        <w:rPr>
          <w:rFonts w:hint="default" w:ascii="Times New Roman" w:hAnsi="Times New Roman" w:cs="Times New Roman"/>
          <w:sz w:val="22"/>
          <w:szCs w:val="22"/>
        </w:rPr>
        <w:t xml:space="preserve">. Molecular dynamics of mir-145 and second target site of 3’UTR of ARF6 mRNA. A. </w:t>
      </w:r>
      <w:r>
        <w:rPr>
          <w:rFonts w:hint="default" w:ascii="Times New Roman" w:hAnsi="Times New Roman" w:cs="Times New Roman"/>
          <w:sz w:val="22"/>
          <w:szCs w:val="22"/>
          <w:lang w:val="id-ID"/>
        </w:rPr>
        <w:t>The f</w:t>
      </w:r>
      <w:r>
        <w:rPr>
          <w:rFonts w:hint="default" w:ascii="Times New Roman" w:hAnsi="Times New Roman" w:cs="Times New Roman"/>
          <w:sz w:val="22"/>
          <w:szCs w:val="22"/>
        </w:rPr>
        <w:t xml:space="preserve">irst frame (initial molecule); B. Last frame; C. First and last frames. This shows </w:t>
      </w:r>
      <w:r>
        <w:rPr>
          <w:rFonts w:hint="default" w:ascii="Times New Roman" w:hAnsi="Times New Roman" w:cs="Times New Roman"/>
          <w:sz w:val="22"/>
          <w:szCs w:val="22"/>
          <w:lang w:val="id-ID"/>
        </w:rPr>
        <w:t xml:space="preserve">the </w:t>
      </w:r>
      <w:r>
        <w:rPr>
          <w:rFonts w:hint="default" w:ascii="Times New Roman" w:hAnsi="Times New Roman" w:cs="Times New Roman"/>
          <w:sz w:val="22"/>
          <w:szCs w:val="22"/>
        </w:rPr>
        <w:t>clear conformational difference between the initial and last states of the molecule. The visualization was done by using PyMOL 2.3.0.</w:t>
      </w:r>
    </w:p>
    <w:p>
      <w:pPr>
        <w:spacing w:line="480" w:lineRule="auto"/>
        <w:ind w:left="396" w:leftChars="0" w:hanging="396" w:hangingChars="180"/>
        <w:jc w:val="both"/>
        <w:rPr>
          <w:rFonts w:hint="default" w:ascii="Times New Roman" w:hAnsi="Times New Roman" w:cs="Times New Roman"/>
          <w:sz w:val="22"/>
          <w:szCs w:val="22"/>
          <w:lang w:val="en-US"/>
        </w:rPr>
      </w:pPr>
      <w:r>
        <w:rPr>
          <w:rFonts w:hint="default" w:ascii="Times New Roman" w:hAnsi="Times New Roman" w:cs="Times New Roman"/>
          <w:sz w:val="22"/>
          <w:szCs w:val="22"/>
        </w:rPr>
        <w:t xml:space="preserve">Figure </w:t>
      </w:r>
      <w:r>
        <w:rPr>
          <w:rFonts w:hint="default" w:ascii="Times New Roman" w:hAnsi="Times New Roman" w:cs="Times New Roman"/>
          <w:sz w:val="22"/>
          <w:szCs w:val="22"/>
          <w:lang w:val="en-US"/>
        </w:rPr>
        <w:t>6</w:t>
      </w:r>
      <w:r>
        <w:rPr>
          <w:rFonts w:hint="default" w:ascii="Times New Roman" w:hAnsi="Times New Roman" w:cs="Times New Roman"/>
          <w:sz w:val="22"/>
          <w:szCs w:val="22"/>
        </w:rPr>
        <w:t xml:space="preserve">. </w:t>
      </w:r>
      <w:r>
        <w:rPr>
          <w:rFonts w:hint="default" w:ascii="Times New Roman" w:hAnsi="Times New Roman"/>
          <w:sz w:val="22"/>
          <w:szCs w:val="22"/>
        </w:rPr>
        <w:t>Time series of free energy (A) and RMSD plot (B) of the molecular dynamics simulation with 3300 ps. The x and y-axis respectively denoted: (A) time and energy (kcal/mol); (B) time (ps) and energy (Å).</w:t>
      </w:r>
    </w:p>
    <w:p>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br w:type="page"/>
      </w:r>
    </w:p>
    <w:p>
      <w:pPr>
        <w:spacing w:line="480" w:lineRule="auto"/>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Tables</w:t>
      </w:r>
    </w:p>
    <w:p>
      <w:pPr>
        <w:keepNext w:val="0"/>
        <w:keepLines w:val="0"/>
        <w:pageBreakBefore w:val="0"/>
        <w:kinsoku/>
        <w:wordWrap/>
        <w:overflowPunct/>
        <w:topLinePunct w:val="0"/>
        <w:autoSpaceDE/>
        <w:autoSpaceDN/>
        <w:bidi w:val="0"/>
        <w:adjustRightInd/>
        <w:snapToGrid/>
        <w:spacing w:after="0" w:line="480" w:lineRule="auto"/>
        <w:ind w:left="398" w:leftChars="0" w:hanging="398" w:hangingChars="181"/>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Table 1. Sequences of miR-145 and its predicted target site on ARF6 mRNA.</w:t>
      </w:r>
    </w:p>
    <w:p>
      <w:pPr>
        <w:keepNext w:val="0"/>
        <w:keepLines w:val="0"/>
        <w:pageBreakBefore w:val="0"/>
        <w:kinsoku/>
        <w:wordWrap/>
        <w:overflowPunct/>
        <w:topLinePunct w:val="0"/>
        <w:autoSpaceDE/>
        <w:autoSpaceDN/>
        <w:bidi w:val="0"/>
        <w:adjustRightInd/>
        <w:snapToGrid/>
        <w:spacing w:after="0" w:line="480" w:lineRule="auto"/>
        <w:ind w:left="398" w:leftChars="0" w:hanging="398" w:hangingChars="181"/>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Table 2. Secondary structure of RNA molecules.</w:t>
      </w:r>
    </w:p>
    <w:p>
      <w:pPr>
        <w:keepNext w:val="0"/>
        <w:keepLines w:val="0"/>
        <w:pageBreakBefore w:val="0"/>
        <w:kinsoku/>
        <w:wordWrap/>
        <w:overflowPunct/>
        <w:topLinePunct w:val="0"/>
        <w:autoSpaceDE/>
        <w:autoSpaceDN/>
        <w:bidi w:val="0"/>
        <w:adjustRightInd/>
        <w:snapToGrid/>
        <w:spacing w:after="0" w:line="480" w:lineRule="auto"/>
        <w:ind w:left="398" w:leftChars="0" w:hanging="398" w:hangingChars="181"/>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rPr>
        <w:t>Table 3. Docking scores between miRNA-mRNA duplex</w:t>
      </w:r>
      <w:r>
        <w:rPr>
          <w:rFonts w:hint="default" w:ascii="Times New Roman" w:hAnsi="Times New Roman" w:cs="Times New Roman"/>
          <w:sz w:val="22"/>
          <w:szCs w:val="22"/>
          <w:lang w:val="id-ID"/>
        </w:rPr>
        <w:t xml:space="preserve"> and the native ligand (miR-20a)</w:t>
      </w:r>
      <w:r>
        <w:rPr>
          <w:rFonts w:hint="default" w:ascii="Times New Roman" w:hAnsi="Times New Roman" w:cs="Times New Roman"/>
          <w:sz w:val="22"/>
          <w:szCs w:val="22"/>
        </w:rPr>
        <w:t xml:space="preserve"> with AGO protein</w:t>
      </w:r>
      <w:r>
        <w:rPr>
          <w:rFonts w:hint="default" w:ascii="Times New Roman" w:hAnsi="Times New Roman" w:cs="Times New Roman"/>
          <w:sz w:val="22"/>
          <w:szCs w:val="22"/>
          <w:lang w:val="en-US"/>
        </w:rPr>
        <w:t>.</w:t>
      </w:r>
    </w:p>
    <w:p>
      <w:pPr>
        <w:keepNext w:val="0"/>
        <w:keepLines w:val="0"/>
        <w:pageBreakBefore w:val="0"/>
        <w:kinsoku/>
        <w:wordWrap/>
        <w:overflowPunct/>
        <w:topLinePunct w:val="0"/>
        <w:autoSpaceDE/>
        <w:autoSpaceDN/>
        <w:bidi w:val="0"/>
        <w:adjustRightInd/>
        <w:snapToGrid/>
        <w:spacing w:after="0" w:line="480" w:lineRule="auto"/>
        <w:ind w:left="398" w:leftChars="0" w:hanging="398" w:hangingChars="181"/>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Table </w:t>
      </w:r>
      <w:r>
        <w:rPr>
          <w:rFonts w:hint="default" w:ascii="Times New Roman" w:hAnsi="Times New Roman" w:cs="Times New Roman"/>
          <w:sz w:val="22"/>
          <w:szCs w:val="22"/>
          <w:lang w:val="id-ID"/>
        </w:rPr>
        <w:t>4</w:t>
      </w:r>
      <w:r>
        <w:rPr>
          <w:rFonts w:hint="default" w:ascii="Times New Roman" w:hAnsi="Times New Roman" w:cs="Times New Roman"/>
          <w:sz w:val="22"/>
          <w:szCs w:val="22"/>
        </w:rPr>
        <w:t xml:space="preserve">. </w:t>
      </w:r>
      <w:r>
        <w:rPr>
          <w:rFonts w:hint="default" w:ascii="Times New Roman" w:hAnsi="Times New Roman"/>
          <w:sz w:val="22"/>
          <w:szCs w:val="22"/>
        </w:rPr>
        <w:t>Intermolecular hydrogen bonds position in: (A) AGO protein sequence and miR-145, as well as (B) AGO protein sequence and miRNA-mRNA duplex. Interaction format was written as protein receptor*-location: nucleic acid ligand**-location.</w:t>
      </w:r>
    </w:p>
    <w:p>
      <w:pPr>
        <w:keepNext w:val="0"/>
        <w:keepLines w:val="0"/>
        <w:pageBreakBefore w:val="0"/>
        <w:kinsoku/>
        <w:wordWrap/>
        <w:overflowPunct/>
        <w:topLinePunct w:val="0"/>
        <w:autoSpaceDE/>
        <w:autoSpaceDN/>
        <w:bidi w:val="0"/>
        <w:adjustRightInd/>
        <w:snapToGrid/>
        <w:spacing w:after="0" w:line="480" w:lineRule="auto"/>
        <w:ind w:left="398" w:leftChars="0" w:hanging="398" w:hangingChars="181"/>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Table </w:t>
      </w:r>
      <w:r>
        <w:rPr>
          <w:rFonts w:hint="default" w:ascii="Times New Roman" w:hAnsi="Times New Roman" w:cs="Times New Roman"/>
          <w:sz w:val="22"/>
          <w:szCs w:val="22"/>
          <w:lang w:val="en-US"/>
        </w:rPr>
        <w:t>5</w:t>
      </w:r>
      <w:bookmarkStart w:id="0" w:name="_GoBack"/>
      <w:bookmarkEnd w:id="0"/>
      <w:r>
        <w:rPr>
          <w:rFonts w:hint="default" w:ascii="Times New Roman" w:hAnsi="Times New Roman" w:cs="Times New Roman"/>
          <w:sz w:val="22"/>
          <w:szCs w:val="22"/>
        </w:rPr>
        <w:t xml:space="preserve">. List of hydrophobic interactions between the AGO protein receptor and the nucleic acid ligand. </w:t>
      </w:r>
    </w:p>
    <w:p>
      <w:pPr>
        <w:spacing w:line="480" w:lineRule="auto"/>
        <w:rPr>
          <w:rFonts w:hint="default" w:ascii="Times New Roman" w:hAnsi="Times New Roman" w:cs="Times New Roman"/>
          <w:sz w:val="22"/>
          <w:szCs w:val="2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D5EC1"/>
    <w:rsid w:val="0CF1238F"/>
    <w:rsid w:val="11AD5EC1"/>
    <w:rsid w:val="22EF1F04"/>
    <w:rsid w:val="278E6BAC"/>
    <w:rsid w:val="2B9F1671"/>
    <w:rsid w:val="33FF5B7B"/>
    <w:rsid w:val="38CE355D"/>
    <w:rsid w:val="3F78370A"/>
    <w:rsid w:val="42656313"/>
    <w:rsid w:val="4A1354B0"/>
    <w:rsid w:val="4BF1314E"/>
    <w:rsid w:val="510E421B"/>
    <w:rsid w:val="5DEF558E"/>
    <w:rsid w:val="60846E89"/>
    <w:rsid w:val="67C91167"/>
    <w:rsid w:val="68C33197"/>
    <w:rsid w:val="6F3C35A2"/>
    <w:rsid w:val="765D0509"/>
    <w:rsid w:val="7931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Office_11.2.0.9665_F1E327BC-269C-435d-A152-05C5408002CA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2020-04-10T04:16:00Z</dcterms:created>
  <dc:creator>jeremiasivan</dc:creator>
  <cp:lastModifiedBy>jeremiasivan</cp:lastModifiedBy>
  <dcterms:modified xsi:type="dcterms:W3CDTF">2020-09-16T09:10:04Z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