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A5" w:rsidRPr="007F42A5" w:rsidRDefault="007F42A5">
      <w:pPr>
        <w:rPr>
          <w:rFonts w:ascii="Times New Roman" w:hAnsi="Times New Roman" w:cs="Times New Roman"/>
          <w:b/>
          <w:sz w:val="24"/>
        </w:rPr>
      </w:pPr>
      <w:r w:rsidRPr="007F42A5">
        <w:rPr>
          <w:rFonts w:ascii="Times New Roman" w:hAnsi="Times New Roman" w:cs="Times New Roman"/>
          <w:b/>
          <w:sz w:val="24"/>
        </w:rPr>
        <w:t>Figure Legends</w:t>
      </w:r>
    </w:p>
    <w:p w:rsidR="00AC3C70" w:rsidRPr="007F42A5" w:rsidRDefault="00D944FD" w:rsidP="00C320DF">
      <w:pPr>
        <w:ind w:left="993" w:hanging="993"/>
        <w:rPr>
          <w:rFonts w:ascii="Times New Roman" w:hAnsi="Times New Roman" w:cs="Times New Roman"/>
          <w:sz w:val="24"/>
        </w:rPr>
      </w:pPr>
      <w:r w:rsidRPr="007F42A5">
        <w:rPr>
          <w:rFonts w:ascii="Times New Roman" w:hAnsi="Times New Roman" w:cs="Times New Roman"/>
          <w:b/>
          <w:sz w:val="24"/>
        </w:rPr>
        <w:t>Figure 1</w:t>
      </w:r>
      <w:r w:rsidRPr="007F42A5">
        <w:rPr>
          <w:rFonts w:ascii="Times New Roman" w:hAnsi="Times New Roman" w:cs="Times New Roman"/>
          <w:sz w:val="24"/>
        </w:rPr>
        <w:t xml:space="preserve">. </w:t>
      </w:r>
      <w:r w:rsidR="00C320DF" w:rsidRPr="00C320DF">
        <w:rPr>
          <w:rFonts w:ascii="Times New Roman" w:hAnsi="Times New Roman" w:cs="Times New Roman"/>
          <w:sz w:val="24"/>
        </w:rPr>
        <w:t xml:space="preserve">Plasmid pRGEB32 construction </w:t>
      </w:r>
      <w:r w:rsidR="00916B73">
        <w:rPr>
          <w:rFonts w:ascii="Times New Roman" w:hAnsi="Times New Roman" w:cs="Times New Roman"/>
          <w:sz w:val="24"/>
          <w:lang w:val="id-ID"/>
        </w:rPr>
        <w:t>containing</w:t>
      </w:r>
      <w:r w:rsidR="00C320DF" w:rsidRPr="00C320DF">
        <w:rPr>
          <w:rFonts w:ascii="Times New Roman" w:hAnsi="Times New Roman" w:cs="Times New Roman"/>
          <w:sz w:val="24"/>
        </w:rPr>
        <w:t xml:space="preserve"> T-DNA carried CRISPR/Cas9 </w:t>
      </w:r>
      <w:r w:rsidR="00C320DF" w:rsidRPr="00C320DF">
        <w:rPr>
          <w:rFonts w:ascii="Times New Roman" w:hAnsi="Times New Roman" w:cs="Times New Roman"/>
          <w:sz w:val="24"/>
        </w:rPr>
        <w:fldChar w:fldCharType="begin" w:fldLock="1"/>
      </w:r>
      <w:r w:rsidR="00C320DF" w:rsidRPr="00C320DF">
        <w:rPr>
          <w:rFonts w:ascii="Times New Roman" w:hAnsi="Times New Roman" w:cs="Times New Roman"/>
          <w:sz w:val="24"/>
        </w:rPr>
        <w:instrText>ADDIN CSL_CITATION {"citationItems":[{"id":"ITEM-1","itemData":{"DOI":"10.1073/pnas.1420294112","abstract":"The clustered regularly interspaced short palindromic repeat (CRISPR)/CRISPR-associated protein 9 nuclease (Cas9) system has recently emerged as an efficient and versatile tool for genome editing in various organisms. However, its targeting capability and multiplex editing efficiency are often limited by the guide RNA (gRNA)-expressing device. This study demonstrates a general strategy and platform for precise processing and efficient production of numerous gRNAs in vivo from a synthetic polycistronic gene via the endogenous tRNA-processing system. This strategy is shown to significantly increase CRISPR/Cas9 multiplex editing capability and efficiency in plants and is expected to have broad applications for small RNA expression and genome engineering.The clustered regularly interspaced short palindromic repeat (CRISPR)/CRISPR-associated protein 9 nuclease (Cas9) system is being harnessed as a powerful tool for genome engineering in basic research, molecular therapy, and crop improvement. This system uses a small guide RNA (gRNA) to direct Cas9 endonuclease to a specific DNA site; thus, its targeting capability is largely constrained by the gRNA-expressing device. In this study, we developed a general strategy to produce numerous gRNAs from a single polycistronic gene. The endogenous tRNA-processing system, which precisely cleaves both ends of the tRNA precursor, was engineered as a simple and robust platform to boost the targeting and multiplex editing capability of the CRISPR/Cas9 system. We demonstrated that synthetic genes with tandemly arrayed tRNA–gRNA architecture were efficiently and precisely processed into gRNAs with desired 5′ targeting sequences in vivo, which directed Cas9 to edit multiple chromosomal targets. Using this strategy, multiplex genome editing and chromosomal-fragment deletion were readily achieved in stable transgenic rice plants with a high efficiency (up to 100%). Because tRNA and its processing system are virtually conserved in all living organisms, this method could be broadly used to boost the targeting capability and editing efficiency of CRISPR/Cas9 toolkits.","author":[{"dropping-particle":"","family":"Xie","given":"Kabin","non-dropping-particle":"","parse-names":false,"suffix":""},{"dropping-particle":"","family":"Minkenberg","given":"Bastian","non-dropping-particle":"","parse-names":false,"suffix":""},{"dropping-particle":"","family":"Yang","given":"Yinong","non-dropping-particle":"","parse-names":false,"suffix":""}],"container-title":"Proceedings of the National Academy of Sciences","id":"ITEM-1","issue":"11","issued":{"date-parts":[["2015","3","17"]]},"page":"3570 LP  - 3575","title":"Boosting CRISPR/Cas9 multiplex editing capability with the endogenous tRNA-processing system","type":"article-journal","volume":"112"},"uris":["http://www.mendeley.com/documents/?uuid=86794d89-6ddd-4c16-bc6f-551359f6dad9"]}],"mendeley":{"formattedCitation":"(Xie, Minkenberg, &amp; Yang, 2015)","manualFormatting":"(Xie et al. 2015)","plainTextFormattedCitation":"(Xie, Minkenberg, &amp; Yang, 2015)","previouslyFormattedCitation":"(Xie, Minkenberg, and Yang 2015)"},"properties":{"noteIndex":0},"schema":"https://github.com/citation-style-language/schema/raw/master/csl-citation.json"}</w:instrText>
      </w:r>
      <w:r w:rsidR="00C320DF" w:rsidRPr="00C320DF">
        <w:rPr>
          <w:rFonts w:ascii="Times New Roman" w:hAnsi="Times New Roman" w:cs="Times New Roman"/>
          <w:sz w:val="24"/>
        </w:rPr>
        <w:fldChar w:fldCharType="separate"/>
      </w:r>
      <w:r w:rsidR="00C320DF" w:rsidRPr="00C320DF">
        <w:rPr>
          <w:rFonts w:ascii="Times New Roman" w:hAnsi="Times New Roman" w:cs="Times New Roman"/>
          <w:sz w:val="24"/>
        </w:rPr>
        <w:t>(</w:t>
      </w:r>
      <w:proofErr w:type="spellStart"/>
      <w:r w:rsidR="00C320DF" w:rsidRPr="00C320DF">
        <w:rPr>
          <w:rFonts w:ascii="Times New Roman" w:hAnsi="Times New Roman" w:cs="Times New Roman"/>
          <w:sz w:val="24"/>
        </w:rPr>
        <w:t>Xie</w:t>
      </w:r>
      <w:proofErr w:type="spellEnd"/>
      <w:r w:rsidR="00C320DF" w:rsidRPr="00C320DF">
        <w:rPr>
          <w:rFonts w:ascii="Times New Roman" w:hAnsi="Times New Roman" w:cs="Times New Roman"/>
          <w:sz w:val="24"/>
        </w:rPr>
        <w:t xml:space="preserve"> et al. 2015)</w:t>
      </w:r>
      <w:r w:rsidR="00C320DF" w:rsidRPr="00C320DF">
        <w:rPr>
          <w:rFonts w:ascii="Times New Roman" w:hAnsi="Times New Roman" w:cs="Times New Roman"/>
          <w:sz w:val="24"/>
        </w:rPr>
        <w:fldChar w:fldCharType="end"/>
      </w:r>
      <w:r w:rsidR="00C320DF" w:rsidRPr="00C320DF">
        <w:rPr>
          <w:rFonts w:ascii="Times New Roman" w:hAnsi="Times New Roman" w:cs="Times New Roman"/>
          <w:sz w:val="24"/>
        </w:rPr>
        <w:t>.</w:t>
      </w:r>
    </w:p>
    <w:p w:rsidR="00C9010B" w:rsidRPr="007F42A5" w:rsidRDefault="00C9010B" w:rsidP="00617F2E">
      <w:pPr>
        <w:ind w:left="993" w:hanging="993"/>
        <w:rPr>
          <w:rFonts w:ascii="Times New Roman" w:hAnsi="Times New Roman" w:cs="Times New Roman"/>
          <w:sz w:val="24"/>
        </w:rPr>
      </w:pPr>
      <w:r w:rsidRPr="007F42A5">
        <w:rPr>
          <w:rFonts w:ascii="Times New Roman" w:hAnsi="Times New Roman" w:cs="Times New Roman"/>
          <w:b/>
          <w:sz w:val="24"/>
        </w:rPr>
        <w:t>Figure 2.</w:t>
      </w:r>
      <w:r w:rsidR="007F42A5" w:rsidRPr="007F42A5">
        <w:rPr>
          <w:rFonts w:ascii="Times New Roman" w:hAnsi="Times New Roman" w:cs="Times New Roman"/>
          <w:sz w:val="24"/>
        </w:rPr>
        <w:t xml:space="preserve"> </w:t>
      </w:r>
      <w:r w:rsidR="00617F2E" w:rsidRPr="00617F2E">
        <w:rPr>
          <w:rFonts w:ascii="Times New Roman" w:hAnsi="Times New Roman" w:cs="Times New Roman"/>
          <w:sz w:val="24"/>
        </w:rPr>
        <w:t xml:space="preserve">Development of </w:t>
      </w:r>
      <w:r w:rsidR="00617F2E" w:rsidRPr="00617F2E">
        <w:rPr>
          <w:rFonts w:ascii="Times New Roman" w:hAnsi="Times New Roman" w:cs="Times New Roman"/>
          <w:i/>
          <w:sz w:val="24"/>
        </w:rPr>
        <w:t xml:space="preserve">P. </w:t>
      </w:r>
      <w:proofErr w:type="spellStart"/>
      <w:r w:rsidR="00617F2E" w:rsidRPr="00617F2E">
        <w:rPr>
          <w:rFonts w:ascii="Times New Roman" w:hAnsi="Times New Roman" w:cs="Times New Roman"/>
          <w:i/>
          <w:sz w:val="24"/>
        </w:rPr>
        <w:t>amabilis</w:t>
      </w:r>
      <w:proofErr w:type="spellEnd"/>
      <w:r w:rsidR="00617F2E" w:rsidRPr="00617F2E">
        <w:rPr>
          <w:rFonts w:ascii="Times New Roman" w:hAnsi="Times New Roman" w:cs="Times New Roman"/>
          <w:sz w:val="24"/>
        </w:rPr>
        <w:t xml:space="preserve"> </w:t>
      </w:r>
      <w:proofErr w:type="spellStart"/>
      <w:r w:rsidR="00617F2E" w:rsidRPr="00617F2E">
        <w:rPr>
          <w:rFonts w:ascii="Times New Roman" w:hAnsi="Times New Roman" w:cs="Times New Roman"/>
          <w:sz w:val="24"/>
        </w:rPr>
        <w:t>protocorms</w:t>
      </w:r>
      <w:proofErr w:type="spellEnd"/>
      <w:r w:rsidR="00617F2E" w:rsidRPr="00617F2E">
        <w:rPr>
          <w:rFonts w:ascii="Times New Roman" w:hAnsi="Times New Roman" w:cs="Times New Roman"/>
          <w:sz w:val="24"/>
        </w:rPr>
        <w:t xml:space="preserve"> on </w:t>
      </w:r>
      <w:proofErr w:type="spellStart"/>
      <w:r w:rsidR="00617F2E" w:rsidRPr="00617F2E">
        <w:rPr>
          <w:rFonts w:ascii="Times New Roman" w:hAnsi="Times New Roman" w:cs="Times New Roman"/>
          <w:sz w:val="24"/>
        </w:rPr>
        <w:t>Hygromycin</w:t>
      </w:r>
      <w:proofErr w:type="spellEnd"/>
      <w:r w:rsidR="00617F2E" w:rsidRPr="00617F2E">
        <w:rPr>
          <w:rFonts w:ascii="Times New Roman" w:hAnsi="Times New Roman" w:cs="Times New Roman"/>
          <w:sz w:val="24"/>
        </w:rPr>
        <w:t xml:space="preserve"> containing selection medium for </w:t>
      </w:r>
      <w:proofErr w:type="spellStart"/>
      <w:r w:rsidR="00617F2E" w:rsidRPr="00617F2E">
        <w:rPr>
          <w:rFonts w:ascii="Times New Roman" w:hAnsi="Times New Roman" w:cs="Times New Roman"/>
          <w:sz w:val="24"/>
        </w:rPr>
        <w:t>transformants</w:t>
      </w:r>
      <w:proofErr w:type="spellEnd"/>
    </w:p>
    <w:p w:rsidR="00C9010B" w:rsidRPr="007F42A5" w:rsidRDefault="00C9010B" w:rsidP="00617F2E">
      <w:pPr>
        <w:ind w:left="993" w:hanging="993"/>
        <w:rPr>
          <w:rFonts w:ascii="Times New Roman" w:hAnsi="Times New Roman" w:cs="Times New Roman"/>
          <w:sz w:val="24"/>
        </w:rPr>
      </w:pPr>
      <w:r w:rsidRPr="007F42A5">
        <w:rPr>
          <w:rFonts w:ascii="Times New Roman" w:hAnsi="Times New Roman" w:cs="Times New Roman"/>
          <w:b/>
          <w:sz w:val="24"/>
        </w:rPr>
        <w:t>Figure 3.</w:t>
      </w:r>
      <w:r w:rsidR="007F42A5" w:rsidRPr="007F42A5">
        <w:rPr>
          <w:rFonts w:ascii="Times New Roman" w:hAnsi="Times New Roman" w:cs="Times New Roman"/>
          <w:sz w:val="24"/>
        </w:rPr>
        <w:t xml:space="preserve"> </w:t>
      </w:r>
      <w:r w:rsidR="00617F2E" w:rsidRPr="00617F2E">
        <w:rPr>
          <w:rFonts w:ascii="Times New Roman" w:hAnsi="Times New Roman" w:cs="Times New Roman"/>
          <w:sz w:val="24"/>
        </w:rPr>
        <w:t xml:space="preserve">Detection </w:t>
      </w:r>
      <w:proofErr w:type="gramStart"/>
      <w:r w:rsidR="00617F2E" w:rsidRPr="00617F2E">
        <w:rPr>
          <w:rFonts w:ascii="Times New Roman" w:hAnsi="Times New Roman" w:cs="Times New Roman"/>
          <w:sz w:val="24"/>
        </w:rPr>
        <w:t xml:space="preserve">of  </w:t>
      </w:r>
      <w:proofErr w:type="spellStart"/>
      <w:r w:rsidR="00617F2E" w:rsidRPr="00617F2E">
        <w:rPr>
          <w:rFonts w:ascii="Times New Roman" w:hAnsi="Times New Roman" w:cs="Times New Roman"/>
          <w:sz w:val="24"/>
        </w:rPr>
        <w:t>transformant</w:t>
      </w:r>
      <w:proofErr w:type="spellEnd"/>
      <w:proofErr w:type="gramEnd"/>
      <w:r w:rsidR="00617F2E" w:rsidRPr="00617F2E">
        <w:rPr>
          <w:rFonts w:ascii="Times New Roman" w:hAnsi="Times New Roman" w:cs="Times New Roman"/>
          <w:sz w:val="24"/>
        </w:rPr>
        <w:t xml:space="preserve"> orchid plants based on PCR-</w:t>
      </w:r>
      <w:proofErr w:type="spellStart"/>
      <w:r w:rsidR="00617F2E" w:rsidRPr="00617F2E">
        <w:rPr>
          <w:rFonts w:ascii="Times New Roman" w:hAnsi="Times New Roman" w:cs="Times New Roman"/>
          <w:sz w:val="24"/>
        </w:rPr>
        <w:t>amplicon</w:t>
      </w:r>
      <w:proofErr w:type="spellEnd"/>
      <w:r w:rsidR="00617F2E" w:rsidRPr="00617F2E">
        <w:rPr>
          <w:rFonts w:ascii="Times New Roman" w:hAnsi="Times New Roman" w:cs="Times New Roman"/>
          <w:sz w:val="24"/>
        </w:rPr>
        <w:t xml:space="preserve"> of transgene.  PCR were performed using specific primers of HPT, Cas9, and PDS3 genes. The fragment of </w:t>
      </w:r>
      <w:proofErr w:type="spellStart"/>
      <w:r w:rsidR="00617F2E" w:rsidRPr="00617F2E">
        <w:rPr>
          <w:rFonts w:ascii="Times New Roman" w:hAnsi="Times New Roman" w:cs="Times New Roman"/>
          <w:sz w:val="24"/>
        </w:rPr>
        <w:t>trnL</w:t>
      </w:r>
      <w:proofErr w:type="spellEnd"/>
      <w:r w:rsidR="00617F2E" w:rsidRPr="00617F2E">
        <w:rPr>
          <w:rFonts w:ascii="Times New Roman" w:hAnsi="Times New Roman" w:cs="Times New Roman"/>
          <w:sz w:val="24"/>
        </w:rPr>
        <w:t xml:space="preserve">-F was used as internal control of PCR reaction. (M: 1kb Gene aid DNA Marker, 1: Wild type </w:t>
      </w:r>
      <w:proofErr w:type="spellStart"/>
      <w:r w:rsidR="00617F2E" w:rsidRPr="00617F2E">
        <w:rPr>
          <w:rFonts w:ascii="Times New Roman" w:hAnsi="Times New Roman" w:cs="Times New Roman"/>
          <w:i/>
          <w:sz w:val="24"/>
        </w:rPr>
        <w:t>P.amabilis</w:t>
      </w:r>
      <w:proofErr w:type="spellEnd"/>
      <w:r w:rsidR="00617F2E" w:rsidRPr="00617F2E">
        <w:rPr>
          <w:rFonts w:ascii="Times New Roman" w:hAnsi="Times New Roman" w:cs="Times New Roman"/>
          <w:sz w:val="24"/>
        </w:rPr>
        <w:t xml:space="preserve">, 2–4: </w:t>
      </w:r>
      <w:proofErr w:type="spellStart"/>
      <w:r w:rsidR="00617F2E" w:rsidRPr="00617F2E">
        <w:rPr>
          <w:rFonts w:ascii="Times New Roman" w:hAnsi="Times New Roman" w:cs="Times New Roman"/>
          <w:sz w:val="24"/>
        </w:rPr>
        <w:t>Transformant</w:t>
      </w:r>
      <w:proofErr w:type="spellEnd"/>
      <w:r w:rsidR="00617F2E" w:rsidRPr="00617F2E">
        <w:rPr>
          <w:rFonts w:ascii="Times New Roman" w:hAnsi="Times New Roman" w:cs="Times New Roman"/>
          <w:sz w:val="24"/>
        </w:rPr>
        <w:t xml:space="preserve"> candidates PDS3T1, and 5–7: </w:t>
      </w:r>
      <w:proofErr w:type="spellStart"/>
      <w:r w:rsidR="00617F2E" w:rsidRPr="00617F2E">
        <w:rPr>
          <w:rFonts w:ascii="Times New Roman" w:hAnsi="Times New Roman" w:cs="Times New Roman"/>
          <w:sz w:val="24"/>
        </w:rPr>
        <w:t>Transformant</w:t>
      </w:r>
      <w:proofErr w:type="spellEnd"/>
      <w:r w:rsidR="00617F2E" w:rsidRPr="00617F2E">
        <w:rPr>
          <w:rFonts w:ascii="Times New Roman" w:hAnsi="Times New Roman" w:cs="Times New Roman"/>
          <w:sz w:val="24"/>
        </w:rPr>
        <w:t xml:space="preserve"> candidates PDS3T2)</w:t>
      </w:r>
    </w:p>
    <w:p w:rsidR="00C9010B" w:rsidRPr="007F42A5" w:rsidRDefault="007F42A5" w:rsidP="00617F2E">
      <w:pPr>
        <w:ind w:left="993" w:hanging="993"/>
        <w:rPr>
          <w:rFonts w:ascii="Times New Roman" w:hAnsi="Times New Roman" w:cs="Times New Roman"/>
          <w:sz w:val="24"/>
        </w:rPr>
      </w:pPr>
      <w:r w:rsidRPr="007F42A5">
        <w:rPr>
          <w:rFonts w:ascii="Times New Roman" w:hAnsi="Times New Roman" w:cs="Times New Roman"/>
          <w:b/>
          <w:sz w:val="24"/>
        </w:rPr>
        <w:t>Figure 4.</w:t>
      </w:r>
      <w:r w:rsidRPr="007F42A5">
        <w:rPr>
          <w:rFonts w:ascii="Times New Roman" w:hAnsi="Times New Roman" w:cs="Times New Roman"/>
          <w:sz w:val="24"/>
        </w:rPr>
        <w:t xml:space="preserve"> </w:t>
      </w:r>
      <w:r w:rsidR="00617F2E" w:rsidRPr="00617F2E">
        <w:rPr>
          <w:rFonts w:ascii="Times New Roman" w:hAnsi="Times New Roman" w:cs="Times New Roman"/>
          <w:sz w:val="24"/>
        </w:rPr>
        <w:t xml:space="preserve">The sequence alignment of the edited </w:t>
      </w:r>
      <w:proofErr w:type="spellStart"/>
      <w:r w:rsidR="00617F2E" w:rsidRPr="00617F2E">
        <w:rPr>
          <w:rFonts w:ascii="Times New Roman" w:hAnsi="Times New Roman" w:cs="Times New Roman"/>
          <w:sz w:val="24"/>
        </w:rPr>
        <w:t>transformant</w:t>
      </w:r>
      <w:proofErr w:type="spellEnd"/>
      <w:r w:rsidR="00617F2E" w:rsidRPr="00617F2E">
        <w:rPr>
          <w:rFonts w:ascii="Times New Roman" w:hAnsi="Times New Roman" w:cs="Times New Roman"/>
          <w:sz w:val="24"/>
        </w:rPr>
        <w:t xml:space="preserve"> </w:t>
      </w:r>
      <w:r w:rsidR="00617F2E" w:rsidRPr="00617F2E">
        <w:rPr>
          <w:rFonts w:ascii="Times New Roman" w:hAnsi="Times New Roman" w:cs="Times New Roman"/>
          <w:i/>
          <w:sz w:val="24"/>
        </w:rPr>
        <w:t>PaPDS3T2</w:t>
      </w:r>
      <w:r w:rsidR="00617F2E" w:rsidRPr="00617F2E">
        <w:rPr>
          <w:rFonts w:ascii="Times New Roman" w:hAnsi="Times New Roman" w:cs="Times New Roman"/>
          <w:sz w:val="24"/>
        </w:rPr>
        <w:t xml:space="preserve"> against wild-type sequence produced in </w:t>
      </w:r>
      <w:proofErr w:type="spellStart"/>
      <w:r w:rsidR="00617F2E" w:rsidRPr="00617F2E">
        <w:rPr>
          <w:rFonts w:ascii="Times New Roman" w:hAnsi="Times New Roman" w:cs="Times New Roman"/>
          <w:sz w:val="24"/>
        </w:rPr>
        <w:t>protocorm</w:t>
      </w:r>
      <w:proofErr w:type="spellEnd"/>
      <w:r w:rsidR="00617F2E" w:rsidRPr="00617F2E">
        <w:rPr>
          <w:rFonts w:ascii="Times New Roman" w:hAnsi="Times New Roman" w:cs="Times New Roman"/>
          <w:sz w:val="24"/>
        </w:rPr>
        <w:t xml:space="preserve"> </w:t>
      </w:r>
      <w:r w:rsidR="00617F2E">
        <w:rPr>
          <w:rFonts w:ascii="Times New Roman" w:hAnsi="Times New Roman" w:cs="Times New Roman"/>
          <w:sz w:val="24"/>
          <w:lang w:val="id-ID"/>
        </w:rPr>
        <w:t xml:space="preserve">of </w:t>
      </w:r>
      <w:proofErr w:type="spellStart"/>
      <w:r w:rsidR="00617F2E" w:rsidRPr="00617F2E">
        <w:rPr>
          <w:rFonts w:ascii="Times New Roman" w:hAnsi="Times New Roman" w:cs="Times New Roman"/>
          <w:i/>
          <w:sz w:val="24"/>
        </w:rPr>
        <w:t>P.amabilis</w:t>
      </w:r>
      <w:proofErr w:type="spellEnd"/>
      <w:r w:rsidR="00617F2E" w:rsidRPr="00617F2E">
        <w:rPr>
          <w:rFonts w:ascii="Times New Roman" w:hAnsi="Times New Roman" w:cs="Times New Roman"/>
          <w:sz w:val="24"/>
        </w:rPr>
        <w:t>. Highlighted nucleotide by red there indication has occurred mutation</w:t>
      </w:r>
    </w:p>
    <w:p w:rsidR="00C9010B" w:rsidRPr="00C9010B" w:rsidRDefault="00C9010B" w:rsidP="00617F2E">
      <w:pPr>
        <w:ind w:left="993" w:hanging="993"/>
      </w:pPr>
      <w:r w:rsidRPr="007F42A5">
        <w:rPr>
          <w:rFonts w:ascii="Times New Roman" w:hAnsi="Times New Roman" w:cs="Times New Roman"/>
          <w:b/>
          <w:sz w:val="24"/>
        </w:rPr>
        <w:t>Figure 5</w:t>
      </w:r>
      <w:r w:rsidRPr="007F42A5">
        <w:rPr>
          <w:rFonts w:ascii="Times New Roman" w:hAnsi="Times New Roman" w:cs="Times New Roman"/>
          <w:sz w:val="24"/>
        </w:rPr>
        <w:t>.</w:t>
      </w:r>
      <w:r w:rsidR="007F42A5" w:rsidRPr="007F42A5">
        <w:rPr>
          <w:rFonts w:ascii="Times New Roman" w:hAnsi="Times New Roman" w:cs="Times New Roman"/>
          <w:sz w:val="24"/>
        </w:rPr>
        <w:t xml:space="preserve"> </w:t>
      </w:r>
      <w:r w:rsidR="00617F2E" w:rsidRPr="00617F2E">
        <w:rPr>
          <w:rFonts w:ascii="Times New Roman" w:hAnsi="Times New Roman" w:cs="Times New Roman"/>
          <w:sz w:val="24"/>
        </w:rPr>
        <w:t xml:space="preserve">Phenotypic changes on the development of </w:t>
      </w:r>
      <w:proofErr w:type="spellStart"/>
      <w:r w:rsidR="00617F2E" w:rsidRPr="00617F2E">
        <w:rPr>
          <w:rFonts w:ascii="Times New Roman" w:hAnsi="Times New Roman" w:cs="Times New Roman"/>
          <w:sz w:val="24"/>
        </w:rPr>
        <w:t>protocorm</w:t>
      </w:r>
      <w:proofErr w:type="spellEnd"/>
      <w:r w:rsidR="00617F2E" w:rsidRPr="00617F2E">
        <w:rPr>
          <w:rFonts w:ascii="Times New Roman" w:hAnsi="Times New Roman" w:cs="Times New Roman"/>
          <w:sz w:val="24"/>
        </w:rPr>
        <w:t xml:space="preserve"> into shoot </w:t>
      </w:r>
      <w:proofErr w:type="gramStart"/>
      <w:r w:rsidR="00617F2E" w:rsidRPr="00617F2E">
        <w:rPr>
          <w:rFonts w:ascii="Times New Roman" w:hAnsi="Times New Roman" w:cs="Times New Roman"/>
          <w:sz w:val="24"/>
        </w:rPr>
        <w:t>of  P</w:t>
      </w:r>
      <w:proofErr w:type="gramEnd"/>
      <w:r w:rsidR="00617F2E" w:rsidRPr="00617F2E">
        <w:rPr>
          <w:rFonts w:ascii="Times New Roman" w:hAnsi="Times New Roman" w:cs="Times New Roman"/>
          <w:sz w:val="24"/>
        </w:rPr>
        <w:t xml:space="preserve">. </w:t>
      </w:r>
      <w:proofErr w:type="spellStart"/>
      <w:r w:rsidR="00617F2E" w:rsidRPr="00617F2E">
        <w:rPr>
          <w:rFonts w:ascii="Times New Roman" w:hAnsi="Times New Roman" w:cs="Times New Roman"/>
          <w:sz w:val="24"/>
        </w:rPr>
        <w:t>amabilis</w:t>
      </w:r>
      <w:proofErr w:type="spellEnd"/>
      <w:r w:rsidR="00617F2E" w:rsidRPr="00617F2E">
        <w:rPr>
          <w:rFonts w:ascii="Times New Roman" w:hAnsi="Times New Roman" w:cs="Times New Roman"/>
          <w:sz w:val="24"/>
        </w:rPr>
        <w:t xml:space="preserve">. </w:t>
      </w:r>
      <w:proofErr w:type="gramStart"/>
      <w:r w:rsidR="00617F2E" w:rsidRPr="00617F2E">
        <w:rPr>
          <w:rFonts w:ascii="Times New Roman" w:hAnsi="Times New Roman" w:cs="Times New Roman"/>
          <w:sz w:val="24"/>
        </w:rPr>
        <w:t xml:space="preserve">(A) Wild-type and the </w:t>
      </w:r>
      <w:proofErr w:type="spellStart"/>
      <w:r w:rsidR="00617F2E" w:rsidRPr="00617F2E">
        <w:rPr>
          <w:rFonts w:ascii="Times New Roman" w:hAnsi="Times New Roman" w:cs="Times New Roman"/>
          <w:sz w:val="24"/>
        </w:rPr>
        <w:t>transformant</w:t>
      </w:r>
      <w:proofErr w:type="spellEnd"/>
      <w:r w:rsidR="00617F2E" w:rsidRPr="00617F2E">
        <w:rPr>
          <w:rFonts w:ascii="Times New Roman" w:hAnsi="Times New Roman" w:cs="Times New Roman"/>
          <w:sz w:val="24"/>
        </w:rPr>
        <w:t xml:space="preserve"> (B) PDS3T1; (C) PDS3T2.</w:t>
      </w:r>
      <w:proofErr w:type="gramEnd"/>
    </w:p>
    <w:p w:rsidR="00C9010B" w:rsidRDefault="00C9010B">
      <w:bookmarkStart w:id="0" w:name="_GoBack"/>
      <w:bookmarkEnd w:id="0"/>
    </w:p>
    <w:sectPr w:rsidR="00C9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FD"/>
    <w:rsid w:val="00617F2E"/>
    <w:rsid w:val="006A5C68"/>
    <w:rsid w:val="007F42A5"/>
    <w:rsid w:val="00916B73"/>
    <w:rsid w:val="00AC3C70"/>
    <w:rsid w:val="00C320DF"/>
    <w:rsid w:val="00C9010B"/>
    <w:rsid w:val="00D543FA"/>
    <w:rsid w:val="00D9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8184">
      <w:bodyDiv w:val="1"/>
      <w:marLeft w:val="0"/>
      <w:marRight w:val="0"/>
      <w:marTop w:val="0"/>
      <w:marBottom w:val="0"/>
      <w:divBdr>
        <w:top w:val="none" w:sz="0" w:space="0" w:color="auto"/>
        <w:left w:val="none" w:sz="0" w:space="0" w:color="auto"/>
        <w:bottom w:val="none" w:sz="0" w:space="0" w:color="auto"/>
        <w:right w:val="none" w:sz="0" w:space="0" w:color="auto"/>
      </w:divBdr>
    </w:div>
    <w:div w:id="602226759">
      <w:bodyDiv w:val="1"/>
      <w:marLeft w:val="0"/>
      <w:marRight w:val="0"/>
      <w:marTop w:val="0"/>
      <w:marBottom w:val="0"/>
      <w:divBdr>
        <w:top w:val="none" w:sz="0" w:space="0" w:color="auto"/>
        <w:left w:val="none" w:sz="0" w:space="0" w:color="auto"/>
        <w:bottom w:val="none" w:sz="0" w:space="0" w:color="auto"/>
        <w:right w:val="none" w:sz="0" w:space="0" w:color="auto"/>
      </w:divBdr>
    </w:div>
    <w:div w:id="692878900">
      <w:bodyDiv w:val="1"/>
      <w:marLeft w:val="0"/>
      <w:marRight w:val="0"/>
      <w:marTop w:val="0"/>
      <w:marBottom w:val="0"/>
      <w:divBdr>
        <w:top w:val="none" w:sz="0" w:space="0" w:color="auto"/>
        <w:left w:val="none" w:sz="0" w:space="0" w:color="auto"/>
        <w:bottom w:val="none" w:sz="0" w:space="0" w:color="auto"/>
        <w:right w:val="none" w:sz="0" w:space="0" w:color="auto"/>
      </w:divBdr>
    </w:div>
    <w:div w:id="842209239">
      <w:bodyDiv w:val="1"/>
      <w:marLeft w:val="0"/>
      <w:marRight w:val="0"/>
      <w:marTop w:val="0"/>
      <w:marBottom w:val="0"/>
      <w:divBdr>
        <w:top w:val="none" w:sz="0" w:space="0" w:color="auto"/>
        <w:left w:val="none" w:sz="0" w:space="0" w:color="auto"/>
        <w:bottom w:val="none" w:sz="0" w:space="0" w:color="auto"/>
        <w:right w:val="none" w:sz="0" w:space="0" w:color="auto"/>
      </w:divBdr>
    </w:div>
    <w:div w:id="1141263638">
      <w:bodyDiv w:val="1"/>
      <w:marLeft w:val="0"/>
      <w:marRight w:val="0"/>
      <w:marTop w:val="0"/>
      <w:marBottom w:val="0"/>
      <w:divBdr>
        <w:top w:val="none" w:sz="0" w:space="0" w:color="auto"/>
        <w:left w:val="none" w:sz="0" w:space="0" w:color="auto"/>
        <w:bottom w:val="none" w:sz="0" w:space="0" w:color="auto"/>
        <w:right w:val="none" w:sz="0" w:space="0" w:color="auto"/>
      </w:divBdr>
    </w:div>
    <w:div w:id="17890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2019-12-09T10:26:00Z</dcterms:created>
  <dcterms:modified xsi:type="dcterms:W3CDTF">2019-12-09T10:26:00Z</dcterms:modified>
</cp:coreProperties>
</file>