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F7AE93" w14:textId="77777777" w:rsidR="00B059BB" w:rsidRDefault="00B059BB" w:rsidP="00B059BB"/>
    <w:p w14:paraId="2EF131D8" w14:textId="77777777" w:rsidR="00B059BB" w:rsidRDefault="00B059BB" w:rsidP="00B059BB"/>
    <w:p w14:paraId="7611E96E" w14:textId="77777777" w:rsidR="00B059BB" w:rsidRDefault="00B059BB" w:rsidP="00B059BB">
      <w:pPr>
        <w:spacing w:after="160" w:line="256" w:lineRule="auto"/>
        <w:jc w:val="center"/>
        <w:rPr>
          <w:rFonts w:ascii="Arial" w:hAnsi="Arial" w:cs="Arial"/>
          <w:b/>
          <w:bCs/>
          <w:sz w:val="40"/>
          <w:u w:val="single"/>
          <w:lang w:val="en-US"/>
        </w:rPr>
      </w:pPr>
      <w:r>
        <w:rPr>
          <w:rFonts w:ascii="Arial" w:hAnsi="Arial" w:cs="Arial"/>
          <w:b/>
          <w:bCs/>
          <w:sz w:val="40"/>
          <w:u w:val="single"/>
          <w:lang w:val="en-US"/>
        </w:rPr>
        <w:t>Revision Tracking</w:t>
      </w:r>
    </w:p>
    <w:p w14:paraId="2835297B" w14:textId="77777777" w:rsidR="00B059BB" w:rsidRDefault="00B059BB" w:rsidP="00B059BB">
      <w:pPr>
        <w:spacing w:after="160" w:line="256" w:lineRule="auto"/>
        <w:rPr>
          <w:rFonts w:ascii="Arial" w:hAnsi="Arial" w:cs="Arial"/>
          <w:color w:val="auto"/>
          <w:sz w:val="28"/>
          <w:szCs w:val="28"/>
          <w:lang w:val="en-US"/>
        </w:rPr>
      </w:pPr>
      <w:r>
        <w:rPr>
          <w:rFonts w:ascii="Arial" w:hAnsi="Arial" w:cs="Arial"/>
          <w:color w:val="auto"/>
          <w:sz w:val="28"/>
          <w:szCs w:val="28"/>
          <w:lang w:val="en-US"/>
        </w:rPr>
        <w:t>1</w:t>
      </w:r>
      <w:r>
        <w:rPr>
          <w:rFonts w:ascii="Arial" w:hAnsi="Arial" w:cs="Arial"/>
          <w:color w:val="auto"/>
          <w:sz w:val="28"/>
          <w:szCs w:val="28"/>
          <w:vertAlign w:val="superscript"/>
          <w:lang w:val="en-US"/>
        </w:rPr>
        <w:t>st</w:t>
      </w:r>
      <w:r>
        <w:rPr>
          <w:rFonts w:ascii="Arial" w:hAnsi="Arial" w:cs="Arial"/>
          <w:color w:val="auto"/>
          <w:sz w:val="28"/>
          <w:szCs w:val="28"/>
          <w:lang w:val="en-US"/>
        </w:rPr>
        <w:t xml:space="preserve"> review by GAMA-IJB result </w:t>
      </w:r>
      <w:r>
        <w:rPr>
          <w:rFonts w:ascii="Arial" w:hAnsi="Arial" w:cs="Arial"/>
          <w:color w:val="auto"/>
          <w:sz w:val="28"/>
          <w:szCs w:val="28"/>
          <w:highlight w:val="yellow"/>
          <w:lang w:val="en-US"/>
        </w:rPr>
        <w:t>per 18 Jan 2021</w:t>
      </w:r>
    </w:p>
    <w:p w14:paraId="1A852BBA" w14:textId="1D33BD91" w:rsidR="00B059BB" w:rsidRDefault="00B059BB" w:rsidP="00B059BB">
      <w:pPr>
        <w:spacing w:after="160" w:line="256" w:lineRule="auto"/>
        <w:rPr>
          <w:rFonts w:ascii="Arial" w:hAnsi="Arial" w:cs="Arial"/>
          <w:color w:val="auto"/>
          <w:sz w:val="40"/>
        </w:rPr>
      </w:pPr>
      <w:r>
        <w:rPr>
          <w:rFonts w:ascii="Arial" w:hAnsi="Arial" w:cs="Arial"/>
          <w:noProof/>
          <w:color w:val="auto"/>
          <w:lang w:val="en-US" w:eastAsia="ja-JP"/>
        </w:rPr>
        <w:drawing>
          <wp:inline distT="0" distB="0" distL="0" distR="0" wp14:anchorId="6E1114D4" wp14:editId="0F3C73D0">
            <wp:extent cx="4110990" cy="701675"/>
            <wp:effectExtent l="0" t="0" r="3810" b="3175"/>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10990" cy="701675"/>
                    </a:xfrm>
                    <a:prstGeom prst="rect">
                      <a:avLst/>
                    </a:prstGeom>
                    <a:solidFill>
                      <a:srgbClr val="FFFFFF"/>
                    </a:solidFill>
                    <a:ln>
                      <a:noFill/>
                    </a:ln>
                  </pic:spPr>
                </pic:pic>
              </a:graphicData>
            </a:graphic>
          </wp:inline>
        </w:drawing>
      </w:r>
    </w:p>
    <w:p w14:paraId="01EB4276" w14:textId="77777777" w:rsidR="00B059BB" w:rsidRDefault="00B059BB" w:rsidP="00B059BB">
      <w:pPr>
        <w:spacing w:after="160" w:line="256" w:lineRule="auto"/>
        <w:rPr>
          <w:rFonts w:ascii="Arial" w:hAnsi="Arial" w:cs="Arial"/>
          <w:color w:val="auto"/>
          <w:sz w:val="28"/>
          <w:szCs w:val="28"/>
          <w:lang w:val="en-US"/>
        </w:rPr>
      </w:pPr>
      <w:r>
        <w:rPr>
          <w:rFonts w:ascii="Arial" w:hAnsi="Arial" w:cs="Arial"/>
          <w:color w:val="auto"/>
          <w:sz w:val="28"/>
          <w:szCs w:val="28"/>
          <w:lang w:val="en-US"/>
        </w:rPr>
        <w:t>Revision by authors per 18 Jan 2021 @22:15</w:t>
      </w:r>
    </w:p>
    <w:p w14:paraId="39614BB6" w14:textId="7C703397" w:rsidR="00B059BB" w:rsidRDefault="00B059BB" w:rsidP="00B059BB">
      <w:pPr>
        <w:spacing w:after="160" w:line="256" w:lineRule="auto"/>
        <w:rPr>
          <w:rFonts w:ascii="Arial" w:hAnsi="Arial" w:cs="Arial"/>
          <w:color w:val="auto"/>
          <w:sz w:val="40"/>
          <w:lang w:val="en-US"/>
        </w:rPr>
      </w:pPr>
      <w:r>
        <w:rPr>
          <w:rFonts w:ascii="Arial" w:hAnsi="Arial" w:cs="Arial"/>
          <w:noProof/>
          <w:color w:val="auto"/>
          <w:sz w:val="40"/>
          <w:lang w:val="en-US" w:eastAsia="ja-JP"/>
        </w:rPr>
        <w:drawing>
          <wp:inline distT="0" distB="0" distL="0" distR="0" wp14:anchorId="2058F4D7" wp14:editId="50A2464F">
            <wp:extent cx="4565015" cy="871855"/>
            <wp:effectExtent l="0" t="0" r="698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5015" cy="871855"/>
                    </a:xfrm>
                    <a:prstGeom prst="rect">
                      <a:avLst/>
                    </a:prstGeom>
                    <a:noFill/>
                    <a:ln>
                      <a:noFill/>
                    </a:ln>
                  </pic:spPr>
                </pic:pic>
              </a:graphicData>
            </a:graphic>
          </wp:inline>
        </w:drawing>
      </w:r>
    </w:p>
    <w:p w14:paraId="64A24A5A" w14:textId="77777777" w:rsidR="00B059BB" w:rsidRDefault="00B059BB" w:rsidP="00B059BB">
      <w:pPr>
        <w:spacing w:after="160" w:line="256" w:lineRule="auto"/>
        <w:rPr>
          <w:rFonts w:ascii="Arial" w:hAnsi="Arial" w:cs="Arial"/>
          <w:color w:val="auto"/>
          <w:sz w:val="28"/>
          <w:szCs w:val="28"/>
          <w:lang w:val="en-US"/>
        </w:rPr>
      </w:pPr>
      <w:r>
        <w:rPr>
          <w:rFonts w:ascii="Arial" w:hAnsi="Arial" w:cs="Arial"/>
          <w:color w:val="auto"/>
          <w:sz w:val="28"/>
          <w:szCs w:val="28"/>
          <w:lang w:val="en-US"/>
        </w:rPr>
        <w:t>2</w:t>
      </w:r>
      <w:r>
        <w:rPr>
          <w:rFonts w:ascii="Arial" w:hAnsi="Arial" w:cs="Arial"/>
          <w:color w:val="auto"/>
          <w:sz w:val="28"/>
          <w:szCs w:val="28"/>
          <w:vertAlign w:val="superscript"/>
          <w:lang w:val="en-US"/>
        </w:rPr>
        <w:t>nd</w:t>
      </w:r>
      <w:r>
        <w:rPr>
          <w:rFonts w:ascii="Arial" w:hAnsi="Arial" w:cs="Arial"/>
          <w:color w:val="auto"/>
          <w:sz w:val="28"/>
          <w:szCs w:val="28"/>
          <w:lang w:val="en-US"/>
        </w:rPr>
        <w:t xml:space="preserve"> review by GAMA-IJB result </w:t>
      </w:r>
      <w:r>
        <w:rPr>
          <w:rFonts w:ascii="Arial" w:hAnsi="Arial" w:cs="Arial"/>
          <w:color w:val="auto"/>
          <w:sz w:val="28"/>
          <w:szCs w:val="28"/>
          <w:highlight w:val="yellow"/>
          <w:lang w:val="en-US"/>
        </w:rPr>
        <w:t>per 19 Jan 2021</w:t>
      </w:r>
    </w:p>
    <w:p w14:paraId="410B493E" w14:textId="605A7710" w:rsidR="00B059BB" w:rsidRDefault="00B059BB" w:rsidP="00B059BB">
      <w:pPr>
        <w:rPr>
          <w:rFonts w:eastAsia="Arial"/>
          <w:sz w:val="40"/>
          <w:szCs w:val="40"/>
        </w:rPr>
      </w:pPr>
      <w:r>
        <w:rPr>
          <w:noProof/>
          <w:lang w:val="en-US" w:eastAsia="ja-JP"/>
        </w:rPr>
        <w:drawing>
          <wp:inline distT="0" distB="0" distL="0" distR="0" wp14:anchorId="0FB59E45" wp14:editId="21B9C69A">
            <wp:extent cx="4018915" cy="701675"/>
            <wp:effectExtent l="0" t="0" r="635"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8915" cy="701675"/>
                    </a:xfrm>
                    <a:prstGeom prst="rect">
                      <a:avLst/>
                    </a:prstGeom>
                    <a:noFill/>
                    <a:ln>
                      <a:noFill/>
                    </a:ln>
                  </pic:spPr>
                </pic:pic>
              </a:graphicData>
            </a:graphic>
          </wp:inline>
        </w:drawing>
      </w:r>
      <w:r>
        <w:rPr>
          <w:noProof/>
        </w:rPr>
        <mc:AlternateContent>
          <mc:Choice Requires="wps">
            <w:drawing>
              <wp:anchor distT="0" distB="0" distL="114300" distR="114300" simplePos="0" relativeHeight="251659264" behindDoc="0" locked="0" layoutInCell="1" allowOverlap="1" wp14:anchorId="7AF9A450" wp14:editId="429EC78E">
                <wp:simplePos x="0" y="0"/>
                <wp:positionH relativeFrom="column">
                  <wp:posOffset>825500</wp:posOffset>
                </wp:positionH>
                <wp:positionV relativeFrom="paragraph">
                  <wp:posOffset>533400</wp:posOffset>
                </wp:positionV>
                <wp:extent cx="504825" cy="38100"/>
                <wp:effectExtent l="19050" t="19050" r="28575" b="19050"/>
                <wp:wrapNone/>
                <wp:docPr id="54" name="Straight Arrow Connector 54"/>
                <wp:cNvGraphicFramePr/>
                <a:graphic xmlns:a="http://schemas.openxmlformats.org/drawingml/2006/main">
                  <a:graphicData uri="http://schemas.microsoft.com/office/word/2010/wordprocessingShape">
                    <wps:wsp>
                      <wps:cNvCnPr/>
                      <wps:spPr>
                        <a:xfrm>
                          <a:off x="0" y="0"/>
                          <a:ext cx="504825" cy="38100"/>
                        </a:xfrm>
                        <a:prstGeom prst="straightConnector1">
                          <a:avLst/>
                        </a:prstGeom>
                        <a:noFill/>
                        <a:ln w="38100" cap="flat" cmpd="sng">
                          <a:solidFill>
                            <a:srgbClr val="FF0000"/>
                          </a:solidFill>
                          <a:prstDash val="solid"/>
                          <a:miter lim="800000"/>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type w14:anchorId="061482BA" id="_x0000_t32" coordsize="21600,21600" o:spt="32" o:oned="t" path="m,l21600,21600e" filled="f">
                <v:path arrowok="t" fillok="f" o:connecttype="none"/>
                <o:lock v:ext="edit" shapetype="t"/>
              </v:shapetype>
              <v:shape id="Straight Arrow Connector 54" o:spid="_x0000_s1026" type="#_x0000_t32" style="position:absolute;margin-left:65pt;margin-top:42pt;width:39.75pt;height: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" strokecolor="red" strokeweight="3pt">
                <v:stroke startarrowwidth="narrow" startarrowlength="short" endarrowwidth="narrow" endarrowlength="short" joinstyle="miter"/>
              </v:shape>
            </w:pict>
          </mc:Fallback>
        </mc:AlternateContent>
      </w:r>
    </w:p>
    <w:p w14:paraId="6905B499" w14:textId="77777777" w:rsidR="00B059BB" w:rsidRDefault="00B059BB" w:rsidP="00B059BB">
      <w:pPr>
        <w:spacing w:after="160" w:line="256" w:lineRule="auto"/>
        <w:rPr>
          <w:rFonts w:ascii="Arial" w:hAnsi="Arial" w:cs="Arial"/>
          <w:color w:val="auto"/>
          <w:sz w:val="28"/>
          <w:szCs w:val="28"/>
          <w:lang w:val="en-US"/>
        </w:rPr>
      </w:pPr>
    </w:p>
    <w:p w14:paraId="1AEE5310" w14:textId="77777777" w:rsidR="00B059BB" w:rsidRDefault="00B059BB" w:rsidP="00B059BB">
      <w:pPr>
        <w:spacing w:after="160" w:line="256" w:lineRule="auto"/>
        <w:rPr>
          <w:rFonts w:ascii="Arial" w:hAnsi="Arial" w:cs="Arial"/>
          <w:color w:val="auto"/>
          <w:sz w:val="28"/>
          <w:szCs w:val="28"/>
          <w:lang w:val="en-US"/>
        </w:rPr>
      </w:pPr>
      <w:r>
        <w:rPr>
          <w:rFonts w:ascii="Arial" w:hAnsi="Arial" w:cs="Arial"/>
          <w:color w:val="auto"/>
          <w:sz w:val="28"/>
          <w:szCs w:val="28"/>
          <w:lang w:val="en-US"/>
        </w:rPr>
        <w:t>Revision by authors per 20 Jan 2021 @08:51</w:t>
      </w:r>
    </w:p>
    <w:p w14:paraId="43F53B7E" w14:textId="4A92BA81" w:rsidR="00B059BB" w:rsidRDefault="00B059BB" w:rsidP="00B059BB">
      <w:pPr>
        <w:spacing w:after="160" w:line="256" w:lineRule="auto"/>
        <w:rPr>
          <w:rFonts w:ascii="Arial" w:hAnsi="Arial" w:cs="Arial"/>
          <w:color w:val="auto"/>
          <w:sz w:val="40"/>
          <w:lang w:val="en-US"/>
        </w:rPr>
      </w:pPr>
      <w:r>
        <w:rPr>
          <w:rFonts w:eastAsia="Arial"/>
          <w:noProof/>
          <w:sz w:val="40"/>
          <w:szCs w:val="40"/>
          <w:lang w:val="en-US" w:eastAsia="ja-JP"/>
        </w:rPr>
        <w:drawing>
          <wp:inline distT="0" distB="0" distL="0" distR="0" wp14:anchorId="45857F74" wp14:editId="0674D16B">
            <wp:extent cx="4600575" cy="893445"/>
            <wp:effectExtent l="0" t="0" r="952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0575" cy="893445"/>
                    </a:xfrm>
                    <a:prstGeom prst="rect">
                      <a:avLst/>
                    </a:prstGeom>
                    <a:noFill/>
                    <a:ln>
                      <a:noFill/>
                    </a:ln>
                  </pic:spPr>
                </pic:pic>
              </a:graphicData>
            </a:graphic>
          </wp:inline>
        </w:drawing>
      </w:r>
    </w:p>
    <w:p w14:paraId="31F830D5" w14:textId="77777777" w:rsidR="00B059BB" w:rsidRDefault="00B059BB" w:rsidP="00B059BB">
      <w:pPr>
        <w:spacing w:after="160" w:line="256" w:lineRule="auto"/>
        <w:rPr>
          <w:rFonts w:ascii="Arial" w:hAnsi="Arial" w:cs="Arial"/>
          <w:color w:val="auto"/>
          <w:sz w:val="28"/>
          <w:szCs w:val="28"/>
          <w:lang w:val="en-US"/>
        </w:rPr>
      </w:pPr>
      <w:r>
        <w:rPr>
          <w:rFonts w:ascii="Arial" w:hAnsi="Arial" w:cs="Arial"/>
          <w:color w:val="auto"/>
          <w:sz w:val="28"/>
          <w:szCs w:val="28"/>
          <w:lang w:val="en-US"/>
        </w:rPr>
        <w:t>3</w:t>
      </w:r>
      <w:r>
        <w:rPr>
          <w:rFonts w:ascii="Arial" w:hAnsi="Arial" w:cs="Arial"/>
          <w:color w:val="auto"/>
          <w:sz w:val="28"/>
          <w:szCs w:val="28"/>
          <w:vertAlign w:val="superscript"/>
          <w:lang w:val="en-US"/>
        </w:rPr>
        <w:t>rd</w:t>
      </w:r>
      <w:r>
        <w:rPr>
          <w:rFonts w:ascii="Arial" w:hAnsi="Arial" w:cs="Arial"/>
          <w:color w:val="auto"/>
          <w:sz w:val="28"/>
          <w:szCs w:val="28"/>
          <w:lang w:val="en-US"/>
        </w:rPr>
        <w:t xml:space="preserve"> review by GAMA-IJB result </w:t>
      </w:r>
      <w:r>
        <w:rPr>
          <w:rFonts w:ascii="Arial" w:hAnsi="Arial" w:cs="Arial"/>
          <w:color w:val="auto"/>
          <w:sz w:val="28"/>
          <w:szCs w:val="28"/>
          <w:highlight w:val="yellow"/>
          <w:lang w:val="en-US"/>
        </w:rPr>
        <w:t>per 20 Jan 2021</w:t>
      </w:r>
    </w:p>
    <w:p w14:paraId="19762FFA" w14:textId="0C8B9AAE" w:rsidR="00B059BB" w:rsidRDefault="00B059BB" w:rsidP="00B059BB">
      <w:pPr>
        <w:spacing w:after="160" w:line="256" w:lineRule="auto"/>
        <w:rPr>
          <w:rFonts w:ascii="Arial" w:hAnsi="Arial" w:cs="Arial"/>
          <w:color w:val="auto"/>
          <w:sz w:val="40"/>
          <w:lang w:val="en-US"/>
        </w:rPr>
      </w:pPr>
      <w:r>
        <w:rPr>
          <w:rFonts w:eastAsia="Arial"/>
          <w:noProof/>
          <w:sz w:val="40"/>
          <w:szCs w:val="40"/>
          <w:lang w:val="en-US" w:eastAsia="ja-JP"/>
        </w:rPr>
        <w:drawing>
          <wp:inline distT="0" distB="0" distL="0" distR="0" wp14:anchorId="2D775C6F" wp14:editId="16F693AA">
            <wp:extent cx="3983355" cy="7016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83355" cy="701675"/>
                    </a:xfrm>
                    <a:prstGeom prst="rect">
                      <a:avLst/>
                    </a:prstGeom>
                    <a:noFill/>
                    <a:ln>
                      <a:noFill/>
                    </a:ln>
                  </pic:spPr>
                </pic:pic>
              </a:graphicData>
            </a:graphic>
          </wp:inline>
        </w:drawing>
      </w:r>
    </w:p>
    <w:p w14:paraId="661B4011" w14:textId="77777777" w:rsidR="00B059BB" w:rsidRDefault="00B059BB" w:rsidP="00B059BB">
      <w:pPr>
        <w:spacing w:after="160" w:line="256" w:lineRule="auto"/>
        <w:rPr>
          <w:rFonts w:ascii="Arial" w:hAnsi="Arial" w:cs="Arial"/>
          <w:color w:val="auto"/>
          <w:sz w:val="28"/>
          <w:szCs w:val="28"/>
          <w:lang w:val="en-US"/>
        </w:rPr>
      </w:pPr>
      <w:r>
        <w:rPr>
          <w:rFonts w:ascii="Arial" w:hAnsi="Arial" w:cs="Arial"/>
          <w:color w:val="auto"/>
          <w:sz w:val="28"/>
          <w:szCs w:val="28"/>
          <w:lang w:val="en-US"/>
        </w:rPr>
        <w:t xml:space="preserve">Revision by authors per </w:t>
      </w:r>
      <w:r>
        <w:rPr>
          <w:rFonts w:ascii="Arial" w:hAnsi="Arial" w:cs="Arial"/>
          <w:color w:val="auto"/>
          <w:sz w:val="28"/>
          <w:szCs w:val="28"/>
          <w:highlight w:val="yellow"/>
          <w:lang w:val="en-US"/>
        </w:rPr>
        <w:t>20 Jan 2021 @18:22</w:t>
      </w:r>
      <w:r>
        <w:rPr>
          <w:rFonts w:ascii="Arial" w:hAnsi="Arial" w:cs="Arial"/>
          <w:color w:val="auto"/>
          <w:sz w:val="28"/>
          <w:szCs w:val="28"/>
          <w:lang w:val="en-US"/>
        </w:rPr>
        <w:t xml:space="preserve">, </w:t>
      </w:r>
      <w:r>
        <w:rPr>
          <w:rFonts w:ascii="Arial" w:hAnsi="Arial" w:cs="Arial"/>
          <w:color w:val="auto"/>
          <w:sz w:val="28"/>
          <w:szCs w:val="28"/>
          <w:u w:val="single"/>
          <w:lang w:val="en-US"/>
        </w:rPr>
        <w:t>without references</w:t>
      </w:r>
    </w:p>
    <w:p w14:paraId="3E75B97F" w14:textId="2DCC4A90" w:rsidR="00B059BB" w:rsidRDefault="00B059BB" w:rsidP="00B059BB">
      <w:pPr>
        <w:spacing w:after="160" w:line="256" w:lineRule="auto"/>
        <w:rPr>
          <w:rFonts w:ascii="Arial" w:hAnsi="Arial" w:cs="Arial"/>
          <w:color w:val="auto"/>
          <w:sz w:val="40"/>
          <w:lang w:val="en-US"/>
        </w:rPr>
      </w:pPr>
      <w:r>
        <w:rPr>
          <w:rFonts w:ascii="Arial" w:hAnsi="Arial" w:cs="Arial"/>
          <w:noProof/>
          <w:color w:val="auto"/>
          <w:sz w:val="40"/>
          <w:lang w:val="en-US"/>
        </w:rPr>
        <w:drawing>
          <wp:inline distT="0" distB="0" distL="0" distR="0" wp14:anchorId="5721D940" wp14:editId="6D9CA755">
            <wp:extent cx="4592955" cy="8432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92955" cy="843280"/>
                    </a:xfrm>
                    <a:prstGeom prst="rect">
                      <a:avLst/>
                    </a:prstGeom>
                    <a:noFill/>
                    <a:ln>
                      <a:noFill/>
                    </a:ln>
                  </pic:spPr>
                </pic:pic>
              </a:graphicData>
            </a:graphic>
          </wp:inline>
        </w:drawing>
      </w:r>
    </w:p>
    <w:p w14:paraId="455A1780" w14:textId="77777777" w:rsidR="00B059BB" w:rsidRDefault="00B059BB" w:rsidP="00B059BB">
      <w:pPr>
        <w:spacing w:after="160" w:line="256" w:lineRule="auto"/>
        <w:rPr>
          <w:rFonts w:ascii="Arial" w:hAnsi="Arial" w:cs="Arial"/>
          <w:color w:val="auto"/>
          <w:sz w:val="28"/>
          <w:szCs w:val="28"/>
          <w:lang w:val="en-US"/>
        </w:rPr>
      </w:pPr>
      <w:r>
        <w:rPr>
          <w:rFonts w:ascii="Arial" w:hAnsi="Arial" w:cs="Arial"/>
          <w:color w:val="auto"/>
          <w:sz w:val="28"/>
          <w:szCs w:val="28"/>
          <w:lang w:val="en-US"/>
        </w:rPr>
        <w:br w:type="page"/>
      </w:r>
    </w:p>
    <w:p w14:paraId="2C446597" w14:textId="77777777" w:rsidR="00B059BB" w:rsidRDefault="00B059BB" w:rsidP="00B059BB">
      <w:pPr>
        <w:spacing w:after="160" w:line="256" w:lineRule="auto"/>
        <w:rPr>
          <w:rFonts w:ascii="Arial" w:hAnsi="Arial" w:cs="Arial"/>
          <w:color w:val="auto"/>
          <w:sz w:val="28"/>
          <w:szCs w:val="28"/>
          <w:lang w:val="en-US"/>
        </w:rPr>
      </w:pPr>
      <w:r>
        <w:rPr>
          <w:rFonts w:ascii="Arial" w:hAnsi="Arial" w:cs="Arial"/>
          <w:color w:val="auto"/>
          <w:sz w:val="28"/>
          <w:szCs w:val="28"/>
          <w:lang w:val="en-US"/>
        </w:rPr>
        <w:lastRenderedPageBreak/>
        <w:t xml:space="preserve">Revision by authors per </w:t>
      </w:r>
      <w:r>
        <w:rPr>
          <w:rFonts w:ascii="Arial" w:hAnsi="Arial" w:cs="Arial"/>
          <w:color w:val="auto"/>
          <w:sz w:val="28"/>
          <w:szCs w:val="28"/>
          <w:highlight w:val="yellow"/>
          <w:lang w:val="en-US"/>
        </w:rPr>
        <w:t>20 Jan 2021 @18:22</w:t>
      </w:r>
      <w:r>
        <w:rPr>
          <w:rFonts w:ascii="Arial" w:hAnsi="Arial" w:cs="Arial"/>
          <w:color w:val="auto"/>
          <w:sz w:val="28"/>
          <w:szCs w:val="28"/>
          <w:lang w:val="en-US"/>
        </w:rPr>
        <w:t xml:space="preserve">, </w:t>
      </w:r>
      <w:r>
        <w:rPr>
          <w:rFonts w:ascii="Arial" w:hAnsi="Arial" w:cs="Arial"/>
          <w:color w:val="auto"/>
          <w:sz w:val="28"/>
          <w:szCs w:val="28"/>
          <w:u w:val="single"/>
          <w:lang w:val="en-US"/>
        </w:rPr>
        <w:t>with references</w:t>
      </w:r>
    </w:p>
    <w:p w14:paraId="56FA0E65" w14:textId="46E3AF8E" w:rsidR="00B059BB" w:rsidRDefault="00B059BB" w:rsidP="00B059BB">
      <w:pPr>
        <w:spacing w:after="160" w:line="256" w:lineRule="auto"/>
        <w:rPr>
          <w:rFonts w:ascii="Arial" w:hAnsi="Arial" w:cs="Arial"/>
          <w:b/>
          <w:bCs/>
          <w:color w:val="auto"/>
          <w:sz w:val="40"/>
          <w:lang w:val="en-US"/>
        </w:rPr>
      </w:pPr>
      <w:r>
        <w:rPr>
          <w:rFonts w:ascii="Arial" w:hAnsi="Arial" w:cs="Arial"/>
          <w:b/>
          <w:noProof/>
          <w:color w:val="auto"/>
          <w:sz w:val="40"/>
          <w:lang w:val="en-US"/>
        </w:rPr>
        <w:drawing>
          <wp:inline distT="0" distB="0" distL="0" distR="0" wp14:anchorId="48985EAA" wp14:editId="798D903F">
            <wp:extent cx="5110480" cy="8578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0480" cy="857885"/>
                    </a:xfrm>
                    <a:prstGeom prst="rect">
                      <a:avLst/>
                    </a:prstGeom>
                    <a:noFill/>
                    <a:ln>
                      <a:noFill/>
                    </a:ln>
                  </pic:spPr>
                </pic:pic>
              </a:graphicData>
            </a:graphic>
          </wp:inline>
        </w:drawing>
      </w:r>
    </w:p>
    <w:p w14:paraId="52072FE7" w14:textId="77777777" w:rsidR="00B059BB" w:rsidRDefault="00B059BB" w:rsidP="00B059BB">
      <w:pPr>
        <w:spacing w:after="160" w:line="256" w:lineRule="auto"/>
        <w:rPr>
          <w:rFonts w:ascii="Arial" w:hAnsi="Arial" w:cs="Arial"/>
          <w:color w:val="auto"/>
          <w:sz w:val="40"/>
          <w:lang w:val="en-US"/>
        </w:rPr>
      </w:pPr>
    </w:p>
    <w:p w14:paraId="78C58A61" w14:textId="77777777" w:rsidR="00B059BB" w:rsidRDefault="00B059BB" w:rsidP="00B059BB">
      <w:pPr>
        <w:spacing w:after="160" w:line="256" w:lineRule="auto"/>
        <w:rPr>
          <w:rFonts w:ascii="Arial" w:hAnsi="Arial" w:cs="Arial"/>
          <w:color w:val="auto"/>
          <w:sz w:val="40"/>
          <w:u w:val="single"/>
          <w:lang w:val="en-US"/>
        </w:rPr>
      </w:pPr>
      <w:r>
        <w:rPr>
          <w:rFonts w:ascii="Arial" w:hAnsi="Arial" w:cs="Arial"/>
          <w:color w:val="auto"/>
          <w:sz w:val="40"/>
          <w:u w:val="single"/>
          <w:lang w:val="en-US"/>
        </w:rPr>
        <w:t xml:space="preserve">Checklist </w:t>
      </w:r>
    </w:p>
    <w:p w14:paraId="4D5AA6CB" w14:textId="77777777" w:rsidR="00B059BB" w:rsidRDefault="00B059BB" w:rsidP="00B059BB">
      <w:pPr>
        <w:shd w:val="clear" w:color="auto" w:fill="FFFFFF"/>
        <w:spacing w:after="150"/>
        <w:rPr>
          <w:rFonts w:ascii="Arial" w:hAnsi="Arial" w:cs="Arial"/>
          <w:color w:val="auto"/>
          <w:szCs w:val="24"/>
        </w:rPr>
      </w:pPr>
      <w:r>
        <w:rPr>
          <w:rFonts w:ascii="Arial" w:hAnsi="Arial" w:cs="Arial"/>
          <w:b/>
          <w:szCs w:val="24"/>
        </w:rPr>
        <w:t>AUTHOR GUIDELINE</w:t>
      </w:r>
    </w:p>
    <w:p w14:paraId="29BDA7D1" w14:textId="77777777" w:rsidR="00B059BB" w:rsidRDefault="00B059BB" w:rsidP="00B059BB">
      <w:pPr>
        <w:pStyle w:val="ListParagraph"/>
        <w:numPr>
          <w:ilvl w:val="0"/>
          <w:numId w:val="20"/>
        </w:numPr>
        <w:shd w:val="clear" w:color="auto" w:fill="FFFFFF"/>
        <w:spacing w:after="150"/>
        <w:rPr>
          <w:rFonts w:ascii="Arial" w:hAnsi="Arial" w:cs="Arial"/>
          <w:color w:val="auto"/>
          <w:szCs w:val="24"/>
        </w:rPr>
      </w:pPr>
      <w:r>
        <w:rPr>
          <w:rFonts w:ascii="Arial" w:hAnsi="Arial" w:cs="Arial"/>
          <w:szCs w:val="24"/>
        </w:rPr>
        <w:t>Each manuscript must include a reference list containing only the quoted work and using the Mendeley or Zotero tool.</w:t>
      </w:r>
      <w:r>
        <w:rPr>
          <w:rFonts w:ascii="Arial" w:hAnsi="Arial" w:cs="Arial"/>
          <w:szCs w:val="24"/>
          <w:lang w:val="en-US"/>
        </w:rPr>
        <w:t xml:space="preserve"> </w:t>
      </w:r>
      <w:r>
        <w:rPr>
          <w:rFonts w:ascii="Arial" w:hAnsi="Arial" w:cs="Arial"/>
          <w:b/>
          <w:bCs/>
          <w:color w:val="0000CC"/>
          <w:u w:val="single"/>
          <w:shd w:val="clear" w:color="auto" w:fill="FFFFFF"/>
          <w:lang w:val="en-US"/>
        </w:rPr>
        <w:t>(Ok!)</w:t>
      </w:r>
    </w:p>
    <w:p w14:paraId="6BDBD03E" w14:textId="77777777" w:rsidR="00B059BB" w:rsidRDefault="00B059BB" w:rsidP="00B059BB">
      <w:pPr>
        <w:pStyle w:val="ListParagraph"/>
        <w:numPr>
          <w:ilvl w:val="0"/>
          <w:numId w:val="21"/>
        </w:numPr>
        <w:shd w:val="clear" w:color="auto" w:fill="FFFFFF"/>
        <w:spacing w:after="150"/>
        <w:rPr>
          <w:rFonts w:ascii="Arial" w:hAnsi="Arial" w:cs="Arial"/>
          <w:color w:val="auto"/>
          <w:szCs w:val="24"/>
        </w:rPr>
      </w:pPr>
      <w:r>
        <w:rPr>
          <w:rFonts w:ascii="Arial" w:hAnsi="Arial" w:cs="Arial"/>
          <w:b/>
          <w:bCs/>
          <w:szCs w:val="24"/>
        </w:rPr>
        <w:t>Author’s name and Affiliations</w:t>
      </w:r>
    </w:p>
    <w:p w14:paraId="6AD0DA20" w14:textId="77777777" w:rsidR="00B059BB" w:rsidRDefault="00B059BB" w:rsidP="00B059BB">
      <w:pPr>
        <w:pStyle w:val="ListParagraph"/>
        <w:numPr>
          <w:ilvl w:val="0"/>
          <w:numId w:val="20"/>
        </w:numPr>
        <w:shd w:val="clear" w:color="auto" w:fill="FFFFFF"/>
        <w:spacing w:after="150"/>
        <w:rPr>
          <w:rFonts w:ascii="Arial" w:hAnsi="Arial" w:cs="Arial"/>
          <w:color w:val="auto"/>
          <w:szCs w:val="24"/>
        </w:rPr>
      </w:pPr>
      <w:r>
        <w:rPr>
          <w:rFonts w:ascii="Arial" w:hAnsi="Arial" w:cs="Arial"/>
          <w:szCs w:val="24"/>
        </w:rPr>
        <w:t>The detailed information about the author will be placed on the ABOUT THE AUTHOR (short CV) page.</w:t>
      </w:r>
      <w:r>
        <w:rPr>
          <w:rFonts w:ascii="Arial" w:hAnsi="Arial" w:cs="Arial"/>
          <w:szCs w:val="24"/>
          <w:lang w:val="en-US"/>
        </w:rPr>
        <w:t xml:space="preserve"> </w:t>
      </w:r>
      <w:r>
        <w:rPr>
          <w:rFonts w:ascii="Arial" w:hAnsi="Arial" w:cs="Arial"/>
          <w:b/>
          <w:bCs/>
          <w:color w:val="0000CC"/>
          <w:u w:val="single"/>
          <w:shd w:val="clear" w:color="auto" w:fill="FFFFFF"/>
          <w:lang w:val="en-US"/>
        </w:rPr>
        <w:t>(Ok!)</w:t>
      </w:r>
    </w:p>
    <w:p w14:paraId="694CE459" w14:textId="77777777" w:rsidR="00B059BB" w:rsidRDefault="00B059BB" w:rsidP="00B059BB">
      <w:pPr>
        <w:pStyle w:val="ListParagraph"/>
        <w:numPr>
          <w:ilvl w:val="0"/>
          <w:numId w:val="21"/>
        </w:numPr>
        <w:shd w:val="clear" w:color="auto" w:fill="FFFFFF"/>
        <w:spacing w:after="150"/>
        <w:rPr>
          <w:rFonts w:ascii="Arial" w:hAnsi="Arial" w:cs="Arial"/>
          <w:color w:val="auto"/>
          <w:szCs w:val="24"/>
        </w:rPr>
      </w:pPr>
      <w:r>
        <w:rPr>
          <w:rFonts w:ascii="Arial" w:hAnsi="Arial" w:cs="Arial"/>
          <w:b/>
          <w:bCs/>
          <w:szCs w:val="24"/>
        </w:rPr>
        <w:t>Language</w:t>
      </w:r>
      <w:r>
        <w:rPr>
          <w:rFonts w:ascii="Arial" w:hAnsi="Arial" w:cs="Arial"/>
          <w:szCs w:val="24"/>
          <w:lang w:val="en-US"/>
        </w:rPr>
        <w:t xml:space="preserve"> - </w:t>
      </w:r>
      <w:r>
        <w:rPr>
          <w:rFonts w:ascii="Arial" w:hAnsi="Arial" w:cs="Arial"/>
          <w:szCs w:val="24"/>
        </w:rPr>
        <w:t xml:space="preserve">Spelling follows Webster’s International Dictionary. </w:t>
      </w:r>
      <w:r>
        <w:rPr>
          <w:rFonts w:ascii="Arial" w:hAnsi="Arial" w:cs="Arial"/>
          <w:b/>
          <w:bCs/>
          <w:color w:val="0000CC"/>
          <w:u w:val="single"/>
          <w:shd w:val="clear" w:color="auto" w:fill="FFFFFF"/>
          <w:lang w:val="en-US"/>
        </w:rPr>
        <w:t>(Ok!)</w:t>
      </w:r>
    </w:p>
    <w:p w14:paraId="45E12BBC" w14:textId="77777777" w:rsidR="00B059BB" w:rsidRDefault="00B059BB" w:rsidP="00B059BB">
      <w:pPr>
        <w:pStyle w:val="ListParagraph"/>
        <w:numPr>
          <w:ilvl w:val="0"/>
          <w:numId w:val="20"/>
        </w:numPr>
        <w:shd w:val="clear" w:color="auto" w:fill="FFFFFF"/>
        <w:spacing w:after="150"/>
        <w:rPr>
          <w:rFonts w:ascii="Arial" w:hAnsi="Arial" w:cs="Arial"/>
          <w:color w:val="auto"/>
          <w:szCs w:val="24"/>
        </w:rPr>
      </w:pPr>
      <w:r>
        <w:rPr>
          <w:rFonts w:ascii="Arial" w:hAnsi="Arial" w:cs="Arial"/>
          <w:szCs w:val="24"/>
        </w:rPr>
        <w:t xml:space="preserve">To ensure an anonymous review, the authors should </w:t>
      </w:r>
      <w:r>
        <w:rPr>
          <w:rFonts w:ascii="Arial" w:hAnsi="Arial" w:cs="Arial"/>
          <w:szCs w:val="24"/>
          <w:u w:val="single"/>
        </w:rPr>
        <w:t>not</w:t>
      </w:r>
      <w:r>
        <w:rPr>
          <w:rFonts w:ascii="Arial" w:hAnsi="Arial" w:cs="Arial"/>
          <w:szCs w:val="24"/>
        </w:rPr>
        <w:t xml:space="preserve"> identify themselves directly or indirectly in their papers. </w:t>
      </w:r>
      <w:r>
        <w:rPr>
          <w:rFonts w:ascii="Arial" w:hAnsi="Arial" w:cs="Arial"/>
          <w:b/>
          <w:bCs/>
          <w:color w:val="0000CC"/>
          <w:u w:val="single"/>
          <w:shd w:val="clear" w:color="auto" w:fill="FFFFFF"/>
          <w:lang w:val="en-US"/>
        </w:rPr>
        <w:t>(Ok!)</w:t>
      </w:r>
    </w:p>
    <w:p w14:paraId="6A57995F" w14:textId="77777777" w:rsidR="00B059BB" w:rsidRDefault="00B059BB" w:rsidP="00B059BB">
      <w:pPr>
        <w:pStyle w:val="ListParagraph"/>
        <w:numPr>
          <w:ilvl w:val="0"/>
          <w:numId w:val="20"/>
        </w:numPr>
        <w:shd w:val="clear" w:color="auto" w:fill="FFFFFF"/>
        <w:spacing w:after="150"/>
        <w:rPr>
          <w:rFonts w:ascii="Arial" w:hAnsi="Arial" w:cs="Arial"/>
          <w:color w:val="auto"/>
          <w:szCs w:val="24"/>
        </w:rPr>
      </w:pPr>
      <w:r>
        <w:rPr>
          <w:rFonts w:ascii="Arial" w:hAnsi="Arial" w:cs="Arial"/>
          <w:szCs w:val="24"/>
          <w:lang w:val="en-US"/>
        </w:rPr>
        <w:t>T</w:t>
      </w:r>
      <w:r>
        <w:rPr>
          <w:rFonts w:ascii="Arial" w:hAnsi="Arial" w:cs="Arial"/>
          <w:szCs w:val="24"/>
        </w:rPr>
        <w:t xml:space="preserve">he manuscript does not have errors of more than </w:t>
      </w:r>
      <w:r>
        <w:rPr>
          <w:rFonts w:ascii="Arial" w:hAnsi="Arial" w:cs="Arial"/>
          <w:szCs w:val="24"/>
          <w:highlight w:val="yellow"/>
          <w:u w:val="single"/>
        </w:rPr>
        <w:t>250 and 5%</w:t>
      </w:r>
      <w:r>
        <w:rPr>
          <w:rFonts w:ascii="Arial" w:hAnsi="Arial" w:cs="Arial"/>
          <w:szCs w:val="24"/>
          <w:u w:val="single"/>
        </w:rPr>
        <w:t xml:space="preserve"> </w:t>
      </w:r>
      <w:r>
        <w:rPr>
          <w:rFonts w:ascii="Arial" w:hAnsi="Arial" w:cs="Arial"/>
          <w:szCs w:val="24"/>
        </w:rPr>
        <w:t>of plagiarism indicators.</w:t>
      </w:r>
      <w:r>
        <w:rPr>
          <w:rFonts w:ascii="Arial" w:hAnsi="Arial" w:cs="Arial"/>
          <w:szCs w:val="24"/>
          <w:lang w:val="en-US"/>
        </w:rPr>
        <w:t xml:space="preserve"> </w:t>
      </w:r>
      <w:r>
        <w:rPr>
          <w:rFonts w:ascii="Arial" w:hAnsi="Arial" w:cs="Arial"/>
          <w:b/>
          <w:bCs/>
          <w:color w:val="0000CC"/>
          <w:u w:val="single"/>
          <w:shd w:val="clear" w:color="auto" w:fill="FFFFFF"/>
          <w:lang w:val="en-US"/>
        </w:rPr>
        <w:t>(Ok!)</w:t>
      </w:r>
      <w:r>
        <w:rPr>
          <w:rFonts w:ascii="Arial" w:hAnsi="Arial" w:cs="Arial"/>
          <w:shd w:val="clear" w:color="auto" w:fill="FFFFFF"/>
          <w:lang w:val="en-US"/>
        </w:rPr>
        <w:t xml:space="preserve"> </w:t>
      </w:r>
    </w:p>
    <w:p w14:paraId="3DA3B5B1" w14:textId="77777777" w:rsidR="00B059BB" w:rsidRDefault="00B059BB" w:rsidP="00B059BB">
      <w:pPr>
        <w:pStyle w:val="ListParagraph"/>
        <w:numPr>
          <w:ilvl w:val="1"/>
          <w:numId w:val="20"/>
        </w:numPr>
        <w:shd w:val="clear" w:color="auto" w:fill="FFFFFF"/>
        <w:spacing w:after="150"/>
        <w:rPr>
          <w:rFonts w:ascii="Arial" w:hAnsi="Arial" w:cs="Arial"/>
          <w:i/>
          <w:iCs/>
          <w:color w:val="0000CC"/>
          <w:shd w:val="clear" w:color="auto" w:fill="FFFFFF"/>
          <w:lang w:val="en-US"/>
        </w:rPr>
      </w:pPr>
      <w:r>
        <w:rPr>
          <w:rFonts w:ascii="Arial" w:hAnsi="Arial" w:cs="Arial"/>
          <w:i/>
          <w:iCs/>
          <w:color w:val="0000CC"/>
          <w:shd w:val="clear" w:color="auto" w:fill="FFFFFF"/>
          <w:lang w:val="en-US"/>
        </w:rPr>
        <w:t xml:space="preserve">(Authors do </w:t>
      </w:r>
      <w:r>
        <w:rPr>
          <w:rFonts w:ascii="Arial" w:hAnsi="Arial" w:cs="Arial"/>
          <w:i/>
          <w:iCs/>
          <w:color w:val="0000CC"/>
          <w:u w:val="single"/>
          <w:shd w:val="clear" w:color="auto" w:fill="FFFFFF"/>
          <w:lang w:val="en-US"/>
        </w:rPr>
        <w:t>not</w:t>
      </w:r>
      <w:r>
        <w:rPr>
          <w:rFonts w:ascii="Arial" w:hAnsi="Arial" w:cs="Arial"/>
          <w:i/>
          <w:iCs/>
          <w:color w:val="0000CC"/>
          <w:shd w:val="clear" w:color="auto" w:fill="FFFFFF"/>
          <w:lang w:val="en-US"/>
        </w:rPr>
        <w:t xml:space="preserve"> have access to Grammarly premium. Standard free Grammarly results are provided together with </w:t>
      </w:r>
      <w:proofErr w:type="spellStart"/>
      <w:r>
        <w:rPr>
          <w:rFonts w:ascii="Arial" w:hAnsi="Arial" w:cs="Arial"/>
          <w:i/>
          <w:iCs/>
          <w:color w:val="0000CC"/>
          <w:shd w:val="clear" w:color="auto" w:fill="FFFFFF"/>
          <w:lang w:val="en-US"/>
        </w:rPr>
        <w:t>SmartEdit</w:t>
      </w:r>
      <w:proofErr w:type="spellEnd"/>
      <w:r>
        <w:rPr>
          <w:rFonts w:ascii="Arial" w:hAnsi="Arial" w:cs="Arial"/>
          <w:i/>
          <w:iCs/>
          <w:color w:val="0000CC"/>
          <w:shd w:val="clear" w:color="auto" w:fill="FFFFFF"/>
          <w:lang w:val="en-US"/>
        </w:rPr>
        <w:t xml:space="preserve">, </w:t>
      </w:r>
      <w:proofErr w:type="spellStart"/>
      <w:r>
        <w:rPr>
          <w:rFonts w:ascii="Arial" w:hAnsi="Arial" w:cs="Arial"/>
          <w:i/>
          <w:iCs/>
          <w:color w:val="0000CC"/>
          <w:shd w:val="clear" w:color="auto" w:fill="FFFFFF"/>
          <w:lang w:val="en-US"/>
        </w:rPr>
        <w:t>ProWritingAid</w:t>
      </w:r>
      <w:proofErr w:type="spellEnd"/>
      <w:r>
        <w:rPr>
          <w:rFonts w:ascii="Arial" w:hAnsi="Arial" w:cs="Arial"/>
          <w:i/>
          <w:iCs/>
          <w:color w:val="0000CC"/>
          <w:shd w:val="clear" w:color="auto" w:fill="FFFFFF"/>
          <w:lang w:val="en-US"/>
        </w:rPr>
        <w:t xml:space="preserve">, and Plagiarism Checker results.  Please see screenshots below. </w:t>
      </w:r>
    </w:p>
    <w:p w14:paraId="4C7E1B85" w14:textId="77777777" w:rsidR="00B059BB" w:rsidRDefault="00B059BB" w:rsidP="00B059BB">
      <w:pPr>
        <w:pStyle w:val="ListParagraph"/>
        <w:numPr>
          <w:ilvl w:val="1"/>
          <w:numId w:val="20"/>
        </w:numPr>
        <w:shd w:val="clear" w:color="auto" w:fill="FFFFFF"/>
        <w:spacing w:after="150"/>
        <w:rPr>
          <w:rFonts w:ascii="Arial" w:hAnsi="Arial" w:cs="Arial"/>
          <w:i/>
          <w:iCs/>
          <w:color w:val="0000CC"/>
          <w:shd w:val="clear" w:color="auto" w:fill="FFFFFF"/>
          <w:lang w:val="en-US"/>
        </w:rPr>
      </w:pPr>
      <w:r>
        <w:rPr>
          <w:rFonts w:ascii="Arial" w:hAnsi="Arial" w:cs="Arial"/>
          <w:i/>
          <w:iCs/>
          <w:color w:val="0000CC"/>
          <w:shd w:val="clear" w:color="auto" w:fill="FFFFFF"/>
          <w:lang w:val="en-US"/>
        </w:rPr>
        <w:t xml:space="preserve">Standard free Grammarly version shows error of </w:t>
      </w:r>
      <w:r>
        <w:rPr>
          <w:rFonts w:ascii="Arial" w:hAnsi="Arial" w:cs="Arial"/>
          <w:i/>
          <w:iCs/>
          <w:color w:val="0000CC"/>
          <w:highlight w:val="yellow"/>
          <w:shd w:val="clear" w:color="auto" w:fill="FFFFFF"/>
          <w:lang w:val="en-US"/>
        </w:rPr>
        <w:t xml:space="preserve">216 </w:t>
      </w:r>
      <w:r>
        <w:rPr>
          <w:rFonts w:ascii="Arial" w:hAnsi="Arial" w:cs="Arial"/>
          <w:i/>
          <w:iCs/>
          <w:color w:val="0000CC"/>
          <w:highlight w:val="yellow"/>
          <w:u w:val="single"/>
          <w:shd w:val="clear" w:color="auto" w:fill="FFFFFF"/>
          <w:lang w:val="en-US"/>
        </w:rPr>
        <w:t>without</w:t>
      </w:r>
      <w:r>
        <w:rPr>
          <w:rFonts w:ascii="Arial" w:hAnsi="Arial" w:cs="Arial"/>
          <w:i/>
          <w:iCs/>
          <w:color w:val="0000CC"/>
          <w:shd w:val="clear" w:color="auto" w:fill="FFFFFF"/>
          <w:lang w:val="en-US"/>
        </w:rPr>
        <w:t xml:space="preserve"> and </w:t>
      </w:r>
      <w:r>
        <w:rPr>
          <w:rFonts w:ascii="Arial" w:hAnsi="Arial" w:cs="Arial"/>
          <w:i/>
          <w:iCs/>
          <w:color w:val="0000CC"/>
          <w:highlight w:val="yellow"/>
          <w:shd w:val="clear" w:color="auto" w:fill="FFFFFF"/>
          <w:lang w:val="en-US"/>
        </w:rPr>
        <w:t xml:space="preserve">229 </w:t>
      </w:r>
      <w:r>
        <w:rPr>
          <w:rFonts w:ascii="Arial" w:hAnsi="Arial" w:cs="Arial"/>
          <w:i/>
          <w:iCs/>
          <w:color w:val="0000CC"/>
          <w:highlight w:val="yellow"/>
          <w:u w:val="single"/>
          <w:shd w:val="clear" w:color="auto" w:fill="FFFFFF"/>
          <w:lang w:val="en-US"/>
        </w:rPr>
        <w:t>with</w:t>
      </w:r>
      <w:r>
        <w:rPr>
          <w:rFonts w:ascii="Arial" w:hAnsi="Arial" w:cs="Arial"/>
          <w:i/>
          <w:iCs/>
          <w:color w:val="0000CC"/>
          <w:highlight w:val="yellow"/>
          <w:shd w:val="clear" w:color="auto" w:fill="FFFFFF"/>
          <w:lang w:val="en-US"/>
        </w:rPr>
        <w:t xml:space="preserve"> the references</w:t>
      </w:r>
      <w:r>
        <w:rPr>
          <w:rFonts w:ascii="Arial" w:hAnsi="Arial" w:cs="Arial"/>
          <w:i/>
          <w:iCs/>
          <w:color w:val="0000CC"/>
          <w:shd w:val="clear" w:color="auto" w:fill="FFFFFF"/>
          <w:lang w:val="en-US"/>
        </w:rPr>
        <w:t xml:space="preserve"> that needs premium version to correct.  These are </w:t>
      </w:r>
      <w:r>
        <w:rPr>
          <w:rFonts w:ascii="Arial" w:hAnsi="Arial" w:cs="Arial"/>
          <w:i/>
          <w:iCs/>
          <w:color w:val="0000CC"/>
          <w:highlight w:val="yellow"/>
          <w:u w:val="single"/>
          <w:shd w:val="clear" w:color="auto" w:fill="FFFFFF"/>
          <w:lang w:val="en-US"/>
        </w:rPr>
        <w:t>below 250</w:t>
      </w:r>
      <w:r>
        <w:rPr>
          <w:rFonts w:ascii="Arial" w:hAnsi="Arial" w:cs="Arial"/>
          <w:i/>
          <w:iCs/>
          <w:color w:val="0000CC"/>
          <w:shd w:val="clear" w:color="auto" w:fill="FFFFFF"/>
          <w:lang w:val="en-US"/>
        </w:rPr>
        <w:t xml:space="preserve"> (Please see screenshot below).</w:t>
      </w:r>
    </w:p>
    <w:p w14:paraId="1CF29D74" w14:textId="77777777" w:rsidR="00B059BB" w:rsidRDefault="00B059BB" w:rsidP="00B059BB">
      <w:pPr>
        <w:pStyle w:val="ListParagraph"/>
        <w:numPr>
          <w:ilvl w:val="1"/>
          <w:numId w:val="20"/>
        </w:numPr>
        <w:shd w:val="clear" w:color="auto" w:fill="FFFFFF"/>
        <w:spacing w:after="150"/>
        <w:rPr>
          <w:rFonts w:ascii="Arial" w:hAnsi="Arial" w:cs="Arial"/>
          <w:i/>
          <w:iCs/>
          <w:color w:val="0000CC"/>
          <w:szCs w:val="24"/>
        </w:rPr>
      </w:pPr>
      <w:r>
        <w:rPr>
          <w:rFonts w:ascii="Arial" w:hAnsi="Arial" w:cs="Arial"/>
          <w:i/>
          <w:iCs/>
          <w:color w:val="0000CC"/>
          <w:shd w:val="clear" w:color="auto" w:fill="FFFFFF"/>
          <w:lang w:val="en-US"/>
        </w:rPr>
        <w:t xml:space="preserve">The author uses terminology specific to their research such as endogenize, endogenization, etc.  These are viewed and flagged as </w:t>
      </w:r>
      <w:r>
        <w:rPr>
          <w:rFonts w:ascii="Arial" w:hAnsi="Arial" w:cs="Arial"/>
          <w:i/>
          <w:iCs/>
          <w:color w:val="0000CC"/>
          <w:u w:val="single"/>
          <w:shd w:val="clear" w:color="auto" w:fill="FFFFFF"/>
          <w:lang w:val="en-US"/>
        </w:rPr>
        <w:t>unclear</w:t>
      </w:r>
      <w:r>
        <w:rPr>
          <w:rFonts w:ascii="Arial" w:hAnsi="Arial" w:cs="Arial"/>
          <w:i/>
          <w:iCs/>
          <w:color w:val="0000CC"/>
          <w:shd w:val="clear" w:color="auto" w:fill="FFFFFF"/>
          <w:lang w:val="en-US"/>
        </w:rPr>
        <w:t xml:space="preserve"> by the software. </w:t>
      </w:r>
    </w:p>
    <w:p w14:paraId="228F2058" w14:textId="77777777" w:rsidR="00B059BB" w:rsidRDefault="00B059BB" w:rsidP="00B059BB">
      <w:pPr>
        <w:pStyle w:val="ListParagraph"/>
        <w:numPr>
          <w:ilvl w:val="0"/>
          <w:numId w:val="21"/>
        </w:numPr>
        <w:shd w:val="clear" w:color="auto" w:fill="FFFFFF"/>
        <w:spacing w:after="150"/>
        <w:rPr>
          <w:rFonts w:ascii="Arial" w:hAnsi="Arial" w:cs="Arial"/>
          <w:color w:val="auto"/>
          <w:szCs w:val="24"/>
        </w:rPr>
      </w:pPr>
      <w:r>
        <w:rPr>
          <w:rFonts w:ascii="Arial" w:hAnsi="Arial" w:cs="Arial"/>
          <w:b/>
          <w:bCs/>
          <w:szCs w:val="24"/>
        </w:rPr>
        <w:t>Article length</w:t>
      </w:r>
      <w:r>
        <w:rPr>
          <w:rFonts w:ascii="Arial" w:hAnsi="Arial" w:cs="Arial"/>
          <w:szCs w:val="24"/>
          <w:lang w:val="en-US"/>
        </w:rPr>
        <w:t xml:space="preserve"> - s</w:t>
      </w:r>
      <w:r>
        <w:rPr>
          <w:rFonts w:ascii="Arial" w:hAnsi="Arial" w:cs="Arial"/>
          <w:szCs w:val="24"/>
        </w:rPr>
        <w:t xml:space="preserve">hould be between 4000 and 7000 words. The word count </w:t>
      </w:r>
      <w:r>
        <w:rPr>
          <w:rFonts w:ascii="Arial" w:hAnsi="Arial" w:cs="Arial"/>
          <w:i/>
          <w:iCs/>
          <w:szCs w:val="24"/>
          <w:u w:val="single"/>
        </w:rPr>
        <w:t>excludes</w:t>
      </w:r>
      <w:r>
        <w:rPr>
          <w:rFonts w:ascii="Arial" w:hAnsi="Arial" w:cs="Arial"/>
          <w:szCs w:val="24"/>
        </w:rPr>
        <w:t xml:space="preserve"> tables, figures, and references.</w:t>
      </w:r>
      <w:r>
        <w:rPr>
          <w:rFonts w:ascii="Arial" w:hAnsi="Arial" w:cs="Arial"/>
          <w:szCs w:val="24"/>
          <w:lang w:val="en-US"/>
        </w:rPr>
        <w:t xml:space="preserve"> </w:t>
      </w:r>
      <w:r>
        <w:rPr>
          <w:rFonts w:ascii="Arial" w:hAnsi="Arial" w:cs="Arial"/>
          <w:b/>
          <w:bCs/>
          <w:color w:val="0000CC"/>
          <w:u w:val="single"/>
          <w:shd w:val="clear" w:color="auto" w:fill="FFFFFF"/>
          <w:lang w:val="en-US"/>
        </w:rPr>
        <w:t>(Ok!)</w:t>
      </w:r>
      <w:r>
        <w:rPr>
          <w:rFonts w:ascii="Arial" w:hAnsi="Arial" w:cs="Arial"/>
          <w:shd w:val="clear" w:color="auto" w:fill="FFFFFF"/>
          <w:lang w:val="en-US"/>
        </w:rPr>
        <w:t xml:space="preserve"> (Total </w:t>
      </w:r>
      <w:r>
        <w:rPr>
          <w:rFonts w:ascii="Arial" w:hAnsi="Arial" w:cs="Arial"/>
          <w:highlight w:val="yellow"/>
          <w:shd w:val="clear" w:color="auto" w:fill="FFFFFF"/>
          <w:lang w:val="en-US"/>
        </w:rPr>
        <w:t>6,962</w:t>
      </w:r>
      <w:r>
        <w:rPr>
          <w:rFonts w:ascii="Arial" w:hAnsi="Arial" w:cs="Arial"/>
          <w:shd w:val="clear" w:color="auto" w:fill="FFFFFF"/>
          <w:lang w:val="en-US"/>
        </w:rPr>
        <w:t xml:space="preserve"> words </w:t>
      </w:r>
      <w:r>
        <w:rPr>
          <w:rFonts w:ascii="Arial" w:hAnsi="Arial" w:cs="Arial"/>
          <w:u w:val="single"/>
          <w:shd w:val="clear" w:color="auto" w:fill="FFFFFF"/>
          <w:lang w:val="en-US"/>
        </w:rPr>
        <w:t>excluding</w:t>
      </w:r>
      <w:r>
        <w:rPr>
          <w:rFonts w:ascii="Arial" w:hAnsi="Arial" w:cs="Arial"/>
          <w:shd w:val="clear" w:color="auto" w:fill="FFFFFF"/>
          <w:lang w:val="en-US"/>
        </w:rPr>
        <w:t xml:space="preserve"> References)</w:t>
      </w:r>
    </w:p>
    <w:p w14:paraId="67D88218" w14:textId="77777777" w:rsidR="00B059BB" w:rsidRDefault="00B059BB" w:rsidP="00B059BB">
      <w:pPr>
        <w:pStyle w:val="ListParagraph"/>
        <w:numPr>
          <w:ilvl w:val="0"/>
          <w:numId w:val="21"/>
        </w:numPr>
        <w:shd w:val="clear" w:color="auto" w:fill="FFFFFF"/>
        <w:spacing w:after="150"/>
        <w:rPr>
          <w:rFonts w:ascii="Arial" w:hAnsi="Arial" w:cs="Arial"/>
          <w:color w:val="auto"/>
          <w:szCs w:val="24"/>
        </w:rPr>
      </w:pPr>
      <w:r>
        <w:rPr>
          <w:rFonts w:ascii="Arial" w:hAnsi="Arial" w:cs="Arial"/>
          <w:b/>
          <w:bCs/>
          <w:szCs w:val="24"/>
        </w:rPr>
        <w:t>TITLE PAGE</w:t>
      </w:r>
      <w:r>
        <w:rPr>
          <w:rFonts w:ascii="Arial" w:hAnsi="Arial" w:cs="Arial"/>
          <w:b/>
          <w:bCs/>
          <w:szCs w:val="24"/>
          <w:lang w:val="en-US"/>
        </w:rPr>
        <w:t xml:space="preserve">, </w:t>
      </w:r>
      <w:r>
        <w:rPr>
          <w:rFonts w:ascii="Arial" w:hAnsi="Arial" w:cs="Arial"/>
          <w:b/>
          <w:bCs/>
          <w:szCs w:val="24"/>
        </w:rPr>
        <w:t>Article Title</w:t>
      </w:r>
      <w:r>
        <w:rPr>
          <w:rFonts w:ascii="Arial" w:hAnsi="Arial" w:cs="Arial"/>
          <w:szCs w:val="24"/>
          <w:lang w:val="en-US"/>
        </w:rPr>
        <w:t xml:space="preserve"> - </w:t>
      </w:r>
      <w:r>
        <w:rPr>
          <w:rFonts w:ascii="Arial" w:hAnsi="Arial" w:cs="Arial"/>
          <w:szCs w:val="24"/>
        </w:rPr>
        <w:t>should be no more 20 words.</w:t>
      </w:r>
      <w:r>
        <w:rPr>
          <w:rFonts w:ascii="Arial" w:hAnsi="Arial" w:cs="Arial"/>
          <w:szCs w:val="24"/>
          <w:lang w:val="en-US"/>
        </w:rPr>
        <w:t xml:space="preserve"> </w:t>
      </w:r>
      <w:r>
        <w:rPr>
          <w:rFonts w:ascii="Arial" w:hAnsi="Arial" w:cs="Arial"/>
          <w:b/>
          <w:bCs/>
          <w:color w:val="0000CC"/>
          <w:u w:val="single"/>
          <w:shd w:val="clear" w:color="auto" w:fill="FFFFFF"/>
          <w:lang w:val="en-US"/>
        </w:rPr>
        <w:t>(Ok!)</w:t>
      </w:r>
    </w:p>
    <w:p w14:paraId="7803C069" w14:textId="77777777" w:rsidR="00B059BB" w:rsidRDefault="00B059BB" w:rsidP="00B059BB">
      <w:pPr>
        <w:pStyle w:val="ListParagraph"/>
        <w:numPr>
          <w:ilvl w:val="0"/>
          <w:numId w:val="21"/>
        </w:numPr>
        <w:spacing w:after="160" w:line="256" w:lineRule="auto"/>
        <w:rPr>
          <w:rFonts w:ascii="Arial" w:hAnsi="Arial" w:cs="Arial"/>
          <w:b/>
          <w:bCs/>
          <w:color w:val="auto"/>
          <w:u w:val="single"/>
          <w:shd w:val="clear" w:color="auto" w:fill="FFFFFF"/>
          <w:lang w:val="en-US"/>
        </w:rPr>
      </w:pPr>
      <w:r>
        <w:rPr>
          <w:rFonts w:ascii="Arial" w:hAnsi="Arial" w:cs="Arial"/>
          <w:b/>
          <w:bCs/>
          <w:shd w:val="clear" w:color="auto" w:fill="FFFFFF"/>
        </w:rPr>
        <w:t>An abstract</w:t>
      </w:r>
      <w:r>
        <w:rPr>
          <w:rFonts w:ascii="Arial" w:hAnsi="Arial" w:cs="Arial"/>
          <w:shd w:val="clear" w:color="auto" w:fill="FFFFFF"/>
          <w:lang w:val="en-US"/>
        </w:rPr>
        <w:t xml:space="preserve"> - </w:t>
      </w:r>
      <w:r>
        <w:rPr>
          <w:rFonts w:ascii="Arial" w:hAnsi="Arial" w:cs="Arial"/>
          <w:shd w:val="clear" w:color="auto" w:fill="FFFFFF"/>
        </w:rPr>
        <w:t>between 100-200 words</w:t>
      </w:r>
      <w:r>
        <w:rPr>
          <w:rFonts w:ascii="Arial" w:hAnsi="Arial" w:cs="Arial"/>
          <w:shd w:val="clear" w:color="auto" w:fill="FFFFFF"/>
          <w:lang w:val="en-US"/>
        </w:rPr>
        <w:t xml:space="preserve"> </w:t>
      </w:r>
      <w:r>
        <w:rPr>
          <w:rFonts w:ascii="Arial" w:hAnsi="Arial" w:cs="Arial"/>
          <w:b/>
          <w:bCs/>
          <w:color w:val="0000CC"/>
          <w:u w:val="single"/>
          <w:shd w:val="clear" w:color="auto" w:fill="FFFFFF"/>
          <w:lang w:val="en-US"/>
        </w:rPr>
        <w:t>(Ok!)</w:t>
      </w:r>
      <w:r>
        <w:rPr>
          <w:rFonts w:ascii="Arial" w:hAnsi="Arial" w:cs="Arial"/>
          <w:shd w:val="clear" w:color="auto" w:fill="FFFFFF"/>
          <w:lang w:val="en-US"/>
        </w:rPr>
        <w:t xml:space="preserve"> </w:t>
      </w:r>
    </w:p>
    <w:p w14:paraId="42F9795A" w14:textId="77777777" w:rsidR="00B059BB" w:rsidRDefault="00B059BB" w:rsidP="00B059BB">
      <w:pPr>
        <w:pStyle w:val="ListParagraph"/>
        <w:numPr>
          <w:ilvl w:val="0"/>
          <w:numId w:val="20"/>
        </w:numPr>
        <w:shd w:val="clear" w:color="auto" w:fill="FFFFFF"/>
        <w:spacing w:after="150"/>
        <w:rPr>
          <w:rFonts w:ascii="Arial" w:hAnsi="Arial" w:cs="Arial"/>
          <w:b/>
          <w:bCs/>
          <w:color w:val="auto"/>
          <w:u w:val="single"/>
          <w:shd w:val="clear" w:color="auto" w:fill="FFFFFF"/>
          <w:lang w:val="en-US"/>
        </w:rPr>
      </w:pPr>
      <w:r>
        <w:rPr>
          <w:rFonts w:ascii="Arial" w:hAnsi="Arial" w:cs="Arial"/>
          <w:shd w:val="clear" w:color="auto" w:fill="FFFFFF"/>
          <w:lang w:val="en-US"/>
        </w:rPr>
        <w:t>S</w:t>
      </w:r>
      <w:r>
        <w:rPr>
          <w:rFonts w:ascii="Arial" w:hAnsi="Arial" w:cs="Arial"/>
          <w:shd w:val="clear" w:color="auto" w:fill="FFFFFF"/>
        </w:rPr>
        <w:t xml:space="preserve">hould be </w:t>
      </w:r>
      <w:r>
        <w:rPr>
          <w:rFonts w:ascii="Arial" w:hAnsi="Arial" w:cs="Arial"/>
          <w:u w:val="single"/>
          <w:shd w:val="clear" w:color="auto" w:fill="FFFFFF"/>
        </w:rPr>
        <w:t>presented in English on a separate page</w:t>
      </w:r>
      <w:r>
        <w:rPr>
          <w:rFonts w:ascii="Arial" w:hAnsi="Arial" w:cs="Arial"/>
          <w:b/>
          <w:bCs/>
          <w:shd w:val="clear" w:color="auto" w:fill="FFFFFF"/>
          <w:lang w:val="en-US"/>
        </w:rPr>
        <w:t xml:space="preserve"> </w:t>
      </w:r>
      <w:r>
        <w:rPr>
          <w:rFonts w:ascii="Arial" w:hAnsi="Arial" w:cs="Arial"/>
          <w:b/>
          <w:bCs/>
          <w:color w:val="0000CC"/>
          <w:u w:val="single"/>
          <w:shd w:val="clear" w:color="auto" w:fill="FFFFFF"/>
          <w:lang w:val="en-US"/>
        </w:rPr>
        <w:t>(Ok!)</w:t>
      </w:r>
    </w:p>
    <w:p w14:paraId="77B13940" w14:textId="77777777" w:rsidR="00B059BB" w:rsidRDefault="00B059BB" w:rsidP="00B059BB">
      <w:pPr>
        <w:pStyle w:val="ListParagraph"/>
        <w:numPr>
          <w:ilvl w:val="0"/>
          <w:numId w:val="21"/>
        </w:numPr>
        <w:spacing w:after="160" w:line="256" w:lineRule="auto"/>
        <w:rPr>
          <w:rFonts w:ascii="Arial" w:hAnsi="Arial" w:cs="Arial"/>
          <w:b/>
          <w:bCs/>
          <w:color w:val="auto"/>
          <w:u w:val="single"/>
          <w:shd w:val="clear" w:color="auto" w:fill="FFFFFF"/>
          <w:lang w:val="en-US"/>
        </w:rPr>
      </w:pPr>
      <w:r>
        <w:rPr>
          <w:rFonts w:ascii="Arial" w:hAnsi="Arial" w:cs="Arial"/>
          <w:b/>
          <w:bCs/>
          <w:shd w:val="clear" w:color="auto" w:fill="FFFFFF"/>
        </w:rPr>
        <w:t>Keyword</w:t>
      </w:r>
      <w:r>
        <w:rPr>
          <w:rFonts w:ascii="Arial" w:hAnsi="Arial" w:cs="Arial"/>
          <w:shd w:val="clear" w:color="auto" w:fill="FFFFFF"/>
          <w:lang w:val="en-US"/>
        </w:rPr>
        <w:t xml:space="preserve"> - a</w:t>
      </w:r>
      <w:r>
        <w:rPr>
          <w:rFonts w:ascii="Arial" w:hAnsi="Arial" w:cs="Arial"/>
          <w:shd w:val="clear" w:color="auto" w:fill="FFFFFF"/>
        </w:rPr>
        <w:t xml:space="preserve"> maximum of five keywords </w:t>
      </w:r>
      <w:r>
        <w:rPr>
          <w:rFonts w:ascii="Arial" w:hAnsi="Arial" w:cs="Arial"/>
          <w:b/>
          <w:bCs/>
          <w:color w:val="0000CC"/>
          <w:u w:val="single"/>
          <w:shd w:val="clear" w:color="auto" w:fill="FFFFFF"/>
          <w:lang w:val="en-US"/>
        </w:rPr>
        <w:t>(Ok!)</w:t>
      </w:r>
    </w:p>
    <w:p w14:paraId="64EE37FF" w14:textId="77777777" w:rsidR="00B059BB" w:rsidRDefault="00B059BB" w:rsidP="00B059BB">
      <w:pPr>
        <w:pStyle w:val="ListParagraph"/>
        <w:numPr>
          <w:ilvl w:val="0"/>
          <w:numId w:val="21"/>
        </w:numPr>
        <w:spacing w:after="160" w:line="256" w:lineRule="auto"/>
        <w:rPr>
          <w:rFonts w:ascii="Arial" w:hAnsi="Arial" w:cs="Arial"/>
          <w:b/>
          <w:bCs/>
          <w:color w:val="auto"/>
          <w:u w:val="single"/>
          <w:shd w:val="clear" w:color="auto" w:fill="FFFFFF"/>
          <w:lang w:val="en-US"/>
        </w:rPr>
      </w:pPr>
      <w:r>
        <w:rPr>
          <w:rFonts w:ascii="Arial" w:hAnsi="Arial" w:cs="Arial"/>
          <w:b/>
          <w:bCs/>
          <w:shd w:val="clear" w:color="auto" w:fill="FFFFFF"/>
        </w:rPr>
        <w:t>JEL Classification Numbers</w:t>
      </w:r>
      <w:r>
        <w:rPr>
          <w:rFonts w:ascii="Arial" w:hAnsi="Arial" w:cs="Arial"/>
          <w:b/>
          <w:bCs/>
          <w:shd w:val="clear" w:color="auto" w:fill="FFFFFF"/>
          <w:lang w:val="en-US"/>
        </w:rPr>
        <w:t xml:space="preserve"> - </w:t>
      </w:r>
      <w:r>
        <w:rPr>
          <w:rFonts w:ascii="Arial" w:hAnsi="Arial" w:cs="Arial"/>
          <w:shd w:val="clear" w:color="auto" w:fill="FFFFFF"/>
          <w:lang w:val="en-US"/>
        </w:rPr>
        <w:t>a</w:t>
      </w:r>
      <w:r>
        <w:rPr>
          <w:rFonts w:ascii="Arial" w:hAnsi="Arial" w:cs="Arial"/>
          <w:shd w:val="clear" w:color="auto" w:fill="FFFFFF"/>
        </w:rPr>
        <w:t>dd a 1 - 3 JEL Classification Number</w:t>
      </w:r>
      <w:r>
        <w:rPr>
          <w:rFonts w:ascii="Arial" w:hAnsi="Arial" w:cs="Arial"/>
          <w:shd w:val="clear" w:color="auto" w:fill="FFFFFF"/>
          <w:lang w:val="en-US"/>
        </w:rPr>
        <w:t xml:space="preserve"> </w:t>
      </w:r>
      <w:r>
        <w:rPr>
          <w:rFonts w:ascii="Arial" w:hAnsi="Arial" w:cs="Arial"/>
          <w:b/>
          <w:bCs/>
          <w:color w:val="0000CC"/>
          <w:u w:val="single"/>
          <w:shd w:val="clear" w:color="auto" w:fill="FFFFFF"/>
          <w:lang w:val="en-US"/>
        </w:rPr>
        <w:t>(Ok!)</w:t>
      </w:r>
    </w:p>
    <w:p w14:paraId="21E71345" w14:textId="77777777" w:rsidR="00B059BB" w:rsidRDefault="00B059BB" w:rsidP="00B059BB">
      <w:pPr>
        <w:pStyle w:val="ListParagraph"/>
        <w:numPr>
          <w:ilvl w:val="0"/>
          <w:numId w:val="21"/>
        </w:numPr>
        <w:spacing w:after="160" w:line="256" w:lineRule="auto"/>
        <w:rPr>
          <w:rFonts w:ascii="Arial" w:hAnsi="Arial" w:cs="Arial"/>
          <w:b/>
          <w:bCs/>
          <w:color w:val="auto"/>
          <w:u w:val="single"/>
          <w:shd w:val="clear" w:color="auto" w:fill="FFFFFF"/>
          <w:lang w:val="en-US"/>
        </w:rPr>
      </w:pPr>
      <w:r>
        <w:rPr>
          <w:rFonts w:ascii="Arial" w:hAnsi="Arial" w:cs="Arial"/>
          <w:b/>
          <w:bCs/>
          <w:shd w:val="clear" w:color="auto" w:fill="FFFFFF"/>
        </w:rPr>
        <w:t>References</w:t>
      </w:r>
      <w:r>
        <w:rPr>
          <w:rFonts w:ascii="Arial" w:hAnsi="Arial" w:cs="Arial"/>
          <w:shd w:val="clear" w:color="auto" w:fill="FFFFFF"/>
          <w:lang w:val="en-US"/>
        </w:rPr>
        <w:t xml:space="preserve"> - </w:t>
      </w:r>
      <w:r>
        <w:rPr>
          <w:rFonts w:ascii="Arial" w:hAnsi="Arial" w:cs="Arial"/>
          <w:shd w:val="clear" w:color="auto" w:fill="FFFFFF"/>
        </w:rPr>
        <w:t xml:space="preserve">use reference management tools (example: Mendeley, EndNote, or Zotero) </w:t>
      </w:r>
      <w:r>
        <w:rPr>
          <w:rFonts w:ascii="Arial" w:hAnsi="Arial" w:cs="Arial"/>
          <w:b/>
          <w:bCs/>
          <w:color w:val="0000CC"/>
          <w:u w:val="single"/>
          <w:shd w:val="clear" w:color="auto" w:fill="FFFFFF"/>
          <w:lang w:val="en-US"/>
        </w:rPr>
        <w:t>(Ok!)</w:t>
      </w:r>
    </w:p>
    <w:p w14:paraId="38DB0B8B" w14:textId="77777777" w:rsidR="00B059BB" w:rsidRDefault="00B059BB" w:rsidP="00B059BB">
      <w:pPr>
        <w:pStyle w:val="ListParagraph"/>
        <w:numPr>
          <w:ilvl w:val="0"/>
          <w:numId w:val="20"/>
        </w:numPr>
        <w:shd w:val="clear" w:color="auto" w:fill="FFFFFF"/>
        <w:spacing w:after="150"/>
        <w:rPr>
          <w:rFonts w:ascii="Arial" w:hAnsi="Arial" w:cs="Arial"/>
          <w:b/>
          <w:bCs/>
          <w:color w:val="auto"/>
          <w:u w:val="single"/>
          <w:shd w:val="clear" w:color="auto" w:fill="FFFFFF"/>
          <w:lang w:val="en-US"/>
        </w:rPr>
      </w:pPr>
      <w:r>
        <w:rPr>
          <w:rFonts w:ascii="Arial" w:hAnsi="Arial" w:cs="Arial"/>
          <w:shd w:val="clear" w:color="auto" w:fill="FFFFFF"/>
          <w:lang w:val="en-US"/>
        </w:rPr>
        <w:t>U</w:t>
      </w:r>
      <w:r>
        <w:rPr>
          <w:rFonts w:ascii="Arial" w:hAnsi="Arial" w:cs="Arial"/>
          <w:shd w:val="clear" w:color="auto" w:fill="FFFFFF"/>
        </w:rPr>
        <w:t xml:space="preserve">se the manuscript template </w:t>
      </w:r>
      <w:r>
        <w:rPr>
          <w:rFonts w:ascii="Arial" w:hAnsi="Arial" w:cs="Arial"/>
          <w:b/>
          <w:bCs/>
          <w:color w:val="0000CC"/>
          <w:u w:val="single"/>
          <w:shd w:val="clear" w:color="auto" w:fill="FFFFFF"/>
          <w:lang w:val="en-US"/>
        </w:rPr>
        <w:t>(Ok!)</w:t>
      </w:r>
    </w:p>
    <w:p w14:paraId="4656A64B" w14:textId="77777777" w:rsidR="00B059BB" w:rsidRDefault="00B059BB" w:rsidP="00B059BB">
      <w:pPr>
        <w:spacing w:after="160" w:line="256" w:lineRule="auto"/>
        <w:ind w:left="720"/>
        <w:rPr>
          <w:rFonts w:ascii="Arial" w:hAnsi="Arial" w:cs="Arial"/>
          <w:color w:val="0000CC"/>
        </w:rPr>
      </w:pPr>
      <w:hyperlink r:id="rId15" w:history="1">
        <w:r>
          <w:rPr>
            <w:rStyle w:val="Hyperlink"/>
            <w:rFonts w:ascii="Arial" w:hAnsi="Arial" w:cs="Arial"/>
            <w:color w:val="0000CC"/>
            <w:shd w:val="clear" w:color="auto" w:fill="FFFFFF"/>
          </w:rPr>
          <w:t>TEMPLATE OF JOURNAL</w:t>
        </w:r>
      </w:hyperlink>
      <w:r>
        <w:rPr>
          <w:rFonts w:ascii="Arial" w:hAnsi="Arial" w:cs="Arial"/>
          <w:color w:val="0000CC"/>
        </w:rPr>
        <w:br/>
      </w:r>
      <w:hyperlink r:id="rId16" w:history="1">
        <w:r>
          <w:rPr>
            <w:rStyle w:val="Hyperlink"/>
            <w:rFonts w:ascii="Arial" w:hAnsi="Arial" w:cs="Arial"/>
            <w:color w:val="0000CC"/>
            <w:shd w:val="clear" w:color="auto" w:fill="FFFFFF"/>
          </w:rPr>
          <w:t>TEMPLATE OF ABOUT THE AUTHOR</w:t>
        </w:r>
      </w:hyperlink>
    </w:p>
    <w:p w14:paraId="05365A13" w14:textId="77777777" w:rsidR="00B059BB" w:rsidRDefault="00B059BB" w:rsidP="00B059BB">
      <w:pPr>
        <w:pStyle w:val="ListParagraph"/>
        <w:numPr>
          <w:ilvl w:val="0"/>
          <w:numId w:val="21"/>
        </w:numPr>
        <w:spacing w:after="160" w:line="256" w:lineRule="auto"/>
        <w:rPr>
          <w:rFonts w:ascii="Arial" w:hAnsi="Arial" w:cs="Arial"/>
          <w:color w:val="auto"/>
        </w:rPr>
      </w:pPr>
      <w:r>
        <w:rPr>
          <w:rFonts w:ascii="Arial" w:hAnsi="Arial" w:cs="Arial"/>
          <w:b/>
          <w:bCs/>
          <w:shd w:val="clear" w:color="auto" w:fill="FFFFFF"/>
        </w:rPr>
        <w:t>Artwork</w:t>
      </w:r>
      <w:r>
        <w:rPr>
          <w:rFonts w:ascii="Arial" w:hAnsi="Arial" w:cs="Arial"/>
          <w:shd w:val="clear" w:color="auto" w:fill="FFFFFF"/>
          <w:lang w:val="en-US"/>
        </w:rPr>
        <w:t xml:space="preserve"> - </w:t>
      </w:r>
      <w:r>
        <w:rPr>
          <w:rFonts w:ascii="Arial" w:hAnsi="Arial" w:cs="Arial"/>
          <w:shd w:val="clear" w:color="auto" w:fill="FFFFFF"/>
        </w:rPr>
        <w:t xml:space="preserve">provide high-quality artwork. </w:t>
      </w:r>
      <w:r>
        <w:rPr>
          <w:rFonts w:ascii="Arial" w:hAnsi="Arial" w:cs="Arial"/>
          <w:b/>
          <w:bCs/>
          <w:u w:val="single"/>
          <w:shd w:val="clear" w:color="auto" w:fill="FFFFFF"/>
          <w:lang w:val="en-US"/>
        </w:rPr>
        <w:t>(Ok!)</w:t>
      </w:r>
    </w:p>
    <w:p w14:paraId="112A41AE" w14:textId="77777777" w:rsidR="00B059BB" w:rsidRDefault="00B059BB" w:rsidP="00B059BB">
      <w:pPr>
        <w:pStyle w:val="ListParagraph"/>
        <w:numPr>
          <w:ilvl w:val="0"/>
          <w:numId w:val="20"/>
        </w:numPr>
        <w:shd w:val="clear" w:color="auto" w:fill="FFFFFF"/>
        <w:spacing w:after="150"/>
        <w:rPr>
          <w:rFonts w:ascii="Arial" w:hAnsi="Arial" w:cs="Arial"/>
          <w:color w:val="auto"/>
        </w:rPr>
      </w:pPr>
      <w:r>
        <w:rPr>
          <w:rFonts w:ascii="Arial" w:hAnsi="Arial" w:cs="Arial"/>
          <w:shd w:val="clear" w:color="auto" w:fill="FFFFFF"/>
        </w:rPr>
        <w:lastRenderedPageBreak/>
        <w:t xml:space="preserve">Tables and Figures should be numbered separately. (Table 1, Table 2; Figure 1, Figure 2). </w:t>
      </w:r>
      <w:r>
        <w:rPr>
          <w:rFonts w:ascii="Arial" w:hAnsi="Arial" w:cs="Arial"/>
          <w:b/>
          <w:bCs/>
          <w:color w:val="0000CC"/>
          <w:u w:val="single"/>
          <w:shd w:val="clear" w:color="auto" w:fill="FFFFFF"/>
          <w:lang w:val="en-US"/>
        </w:rPr>
        <w:t>(Ok!)</w:t>
      </w:r>
    </w:p>
    <w:p w14:paraId="1D265B39" w14:textId="77777777" w:rsidR="00B059BB" w:rsidRDefault="00B059BB" w:rsidP="00B059BB">
      <w:pPr>
        <w:pStyle w:val="ListParagraph"/>
        <w:numPr>
          <w:ilvl w:val="0"/>
          <w:numId w:val="20"/>
        </w:numPr>
        <w:shd w:val="clear" w:color="auto" w:fill="FFFFFF"/>
        <w:spacing w:after="150"/>
        <w:rPr>
          <w:rFonts w:ascii="Arial" w:hAnsi="Arial" w:cs="Arial"/>
          <w:color w:val="auto"/>
        </w:rPr>
      </w:pPr>
      <w:r>
        <w:rPr>
          <w:rFonts w:ascii="Arial" w:hAnsi="Arial" w:cs="Arial"/>
          <w:shd w:val="clear" w:color="auto" w:fill="FFFFFF"/>
        </w:rPr>
        <w:t>Each table and each figure should be given a title and</w:t>
      </w:r>
      <w:r>
        <w:rPr>
          <w:rFonts w:ascii="Arial" w:hAnsi="Arial" w:cs="Arial"/>
          <w:shd w:val="clear" w:color="auto" w:fill="FFFFFF"/>
          <w:lang w:val="en-US"/>
        </w:rPr>
        <w:t xml:space="preserve">; </w:t>
      </w:r>
      <w:r>
        <w:rPr>
          <w:rFonts w:ascii="Arial" w:hAnsi="Arial" w:cs="Arial"/>
          <w:b/>
          <w:bCs/>
          <w:color w:val="0000CC"/>
          <w:u w:val="single"/>
          <w:shd w:val="clear" w:color="auto" w:fill="FFFFFF"/>
          <w:lang w:val="en-US"/>
        </w:rPr>
        <w:t>(Ok!)</w:t>
      </w:r>
    </w:p>
    <w:p w14:paraId="63865739" w14:textId="77777777" w:rsidR="00B059BB" w:rsidRDefault="00B059BB" w:rsidP="00B059BB">
      <w:pPr>
        <w:pStyle w:val="ListParagraph"/>
        <w:numPr>
          <w:ilvl w:val="0"/>
          <w:numId w:val="20"/>
        </w:numPr>
        <w:shd w:val="clear" w:color="auto" w:fill="FFFFFF"/>
        <w:spacing w:after="150"/>
        <w:rPr>
          <w:rFonts w:ascii="Arial" w:hAnsi="Arial" w:cs="Arial"/>
          <w:color w:val="auto"/>
        </w:rPr>
      </w:pPr>
      <w:r>
        <w:rPr>
          <w:rFonts w:ascii="Arial" w:hAnsi="Arial" w:cs="Arial"/>
          <w:shd w:val="clear" w:color="auto" w:fill="FFFFFF"/>
          <w:lang w:val="en-US"/>
        </w:rPr>
        <w:t>s</w:t>
      </w:r>
      <w:r>
        <w:rPr>
          <w:rFonts w:ascii="Arial" w:hAnsi="Arial" w:cs="Arial"/>
          <w:shd w:val="clear" w:color="auto" w:fill="FFFFFF"/>
        </w:rPr>
        <w:t xml:space="preserve">hould be presented on a </w:t>
      </w:r>
      <w:r>
        <w:rPr>
          <w:rFonts w:ascii="Arial" w:hAnsi="Arial" w:cs="Arial"/>
          <w:u w:val="single"/>
          <w:shd w:val="clear" w:color="auto" w:fill="FFFFFF"/>
        </w:rPr>
        <w:t>separate page</w:t>
      </w:r>
      <w:r>
        <w:rPr>
          <w:rFonts w:ascii="Arial" w:hAnsi="Arial" w:cs="Arial"/>
          <w:shd w:val="clear" w:color="auto" w:fill="FFFFFF"/>
        </w:rPr>
        <w:t xml:space="preserve"> at the end of the manuscript. </w:t>
      </w:r>
      <w:r>
        <w:rPr>
          <w:rFonts w:ascii="Arial" w:hAnsi="Arial" w:cs="Arial"/>
          <w:b/>
          <w:bCs/>
          <w:color w:val="0000CC"/>
          <w:u w:val="single"/>
          <w:shd w:val="clear" w:color="auto" w:fill="FFFFFF"/>
          <w:lang w:val="en-US"/>
        </w:rPr>
        <w:t>(Ok!)</w:t>
      </w:r>
    </w:p>
    <w:p w14:paraId="33CD046B" w14:textId="77777777" w:rsidR="00B059BB" w:rsidRDefault="00B059BB" w:rsidP="00B059BB">
      <w:pPr>
        <w:spacing w:after="160" w:line="256" w:lineRule="auto"/>
        <w:rPr>
          <w:noProof/>
          <w:lang w:val="en-US"/>
        </w:rPr>
      </w:pPr>
    </w:p>
    <w:p w14:paraId="5B2F4720" w14:textId="77777777" w:rsidR="00B059BB" w:rsidRDefault="00B059BB" w:rsidP="00B059BB">
      <w:pPr>
        <w:spacing w:after="160" w:line="256" w:lineRule="auto"/>
        <w:rPr>
          <w:rFonts w:ascii="Arial" w:hAnsi="Arial" w:cs="Arial"/>
          <w:color w:val="auto"/>
          <w:sz w:val="40"/>
          <w:u w:val="single"/>
          <w:lang w:val="en-US"/>
        </w:rPr>
      </w:pPr>
      <w:r>
        <w:rPr>
          <w:rFonts w:ascii="Arial" w:hAnsi="Arial" w:cs="Arial"/>
          <w:color w:val="auto"/>
          <w:sz w:val="40"/>
          <w:u w:val="single"/>
          <w:lang w:val="en-US"/>
        </w:rPr>
        <w:t xml:space="preserve">Screenshots </w:t>
      </w:r>
    </w:p>
    <w:p w14:paraId="3FC870B0" w14:textId="7B11DBAA" w:rsidR="00B059BB" w:rsidRDefault="00B059BB" w:rsidP="00B059BB">
      <w:pPr>
        <w:spacing w:after="160" w:line="256" w:lineRule="auto"/>
        <w:rPr>
          <w:rFonts w:ascii="Arial" w:hAnsi="Arial" w:cs="Arial"/>
          <w:color w:val="auto"/>
          <w:sz w:val="40"/>
        </w:rPr>
      </w:pPr>
      <w:r>
        <w:rPr>
          <w:rFonts w:ascii="Arial" w:hAnsi="Arial" w:cs="Arial"/>
          <w:noProof/>
          <w:color w:val="auto"/>
          <w:sz w:val="40"/>
          <w:lang w:val="en-US" w:eastAsia="ja-JP"/>
        </w:rPr>
        <w:drawing>
          <wp:inline distT="0" distB="0" distL="0" distR="0" wp14:anchorId="1874879C" wp14:editId="01F3A51C">
            <wp:extent cx="5727700" cy="4238625"/>
            <wp:effectExtent l="0" t="0" r="635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4238625"/>
                    </a:xfrm>
                    <a:prstGeom prst="rect">
                      <a:avLst/>
                    </a:prstGeom>
                    <a:noFill/>
                    <a:ln>
                      <a:noFill/>
                    </a:ln>
                  </pic:spPr>
                </pic:pic>
              </a:graphicData>
            </a:graphic>
          </wp:inline>
        </w:drawing>
      </w:r>
    </w:p>
    <w:p w14:paraId="0797F685" w14:textId="538E13DE" w:rsidR="00B059BB" w:rsidRDefault="00B059BB" w:rsidP="00B059BB">
      <w:pPr>
        <w:spacing w:after="160" w:line="256" w:lineRule="auto"/>
        <w:rPr>
          <w:rFonts w:ascii="Arial" w:hAnsi="Arial" w:cs="Arial"/>
          <w:color w:val="auto"/>
          <w:sz w:val="40"/>
        </w:rPr>
      </w:pPr>
      <w:r>
        <w:rPr>
          <w:noProof/>
          <w:lang w:val="en-US" w:eastAsia="ja-JP"/>
        </w:rPr>
        <w:drawing>
          <wp:inline distT="0" distB="0" distL="0" distR="0" wp14:anchorId="49833C12" wp14:editId="25C00BB6">
            <wp:extent cx="5720080" cy="25165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0080" cy="2516505"/>
                    </a:xfrm>
                    <a:prstGeom prst="rect">
                      <a:avLst/>
                    </a:prstGeom>
                    <a:noFill/>
                    <a:ln>
                      <a:noFill/>
                    </a:ln>
                  </pic:spPr>
                </pic:pic>
              </a:graphicData>
            </a:graphic>
          </wp:inline>
        </w:drawing>
      </w:r>
    </w:p>
    <w:p w14:paraId="6BD8F2FA" w14:textId="77777777" w:rsidR="00B059BB" w:rsidRDefault="00B059BB" w:rsidP="00B059BB">
      <w:pPr>
        <w:spacing w:after="160" w:line="256" w:lineRule="auto"/>
        <w:rPr>
          <w:lang w:val="en-US"/>
        </w:rPr>
      </w:pPr>
      <w:r>
        <w:rPr>
          <w:lang w:val="en-US"/>
        </w:rPr>
        <w:br w:type="page"/>
      </w:r>
    </w:p>
    <w:p w14:paraId="7CEE5687" w14:textId="77777777" w:rsidR="00B059BB" w:rsidRDefault="00B059BB" w:rsidP="00B059BB">
      <w:pPr>
        <w:rPr>
          <w:lang w:val="en-US"/>
        </w:rPr>
      </w:pPr>
      <w:r>
        <w:rPr>
          <w:lang w:val="en-US"/>
        </w:rPr>
        <w:lastRenderedPageBreak/>
        <w:t>Rechecking – after receiving feedback from GAMA-IJB @15:00</w:t>
      </w:r>
    </w:p>
    <w:p w14:paraId="5E7A8708" w14:textId="6E8A98AD" w:rsidR="00B059BB" w:rsidRDefault="00B059BB" w:rsidP="00B059BB">
      <w:pPr>
        <w:rPr>
          <w:lang w:val="en-US"/>
        </w:rPr>
      </w:pPr>
      <w:r>
        <w:rPr>
          <w:noProof/>
        </w:rPr>
        <mc:AlternateContent>
          <mc:Choice Requires="wps">
            <w:drawing>
              <wp:anchor distT="0" distB="0" distL="114300" distR="114300" simplePos="0" relativeHeight="251658240" behindDoc="0" locked="0" layoutInCell="1" allowOverlap="1" wp14:anchorId="56218294" wp14:editId="6A91983F">
                <wp:simplePos x="0" y="0"/>
                <wp:positionH relativeFrom="column">
                  <wp:posOffset>388620</wp:posOffset>
                </wp:positionH>
                <wp:positionV relativeFrom="paragraph">
                  <wp:posOffset>1125855</wp:posOffset>
                </wp:positionV>
                <wp:extent cx="1066800" cy="308610"/>
                <wp:effectExtent l="0" t="0" r="19050" b="15240"/>
                <wp:wrapNone/>
                <wp:docPr id="51" name="Text Box 51"/>
                <wp:cNvGraphicFramePr/>
                <a:graphic xmlns:a="http://schemas.openxmlformats.org/drawingml/2006/main">
                  <a:graphicData uri="http://schemas.microsoft.com/office/word/2010/wordprocessingShape">
                    <wps:wsp>
                      <wps:cNvSpPr txBox="1"/>
                      <wps:spPr>
                        <a:xfrm>
                          <a:off x="0" y="0"/>
                          <a:ext cx="1066800" cy="308610"/>
                        </a:xfrm>
                        <a:prstGeom prst="rect">
                          <a:avLst/>
                        </a:prstGeom>
                        <a:solidFill>
                          <a:schemeClr val="lt1"/>
                        </a:solidFill>
                        <a:ln w="6350">
                          <a:solidFill>
                            <a:prstClr val="black"/>
                          </a:solidFill>
                        </a:ln>
                      </wps:spPr>
                      <wps:txbx>
                        <w:txbxContent>
                          <w:p w14:paraId="6C2DC327" w14:textId="77777777" w:rsidR="00B059BB" w:rsidRDefault="00B059BB" w:rsidP="00B059BB">
                            <w:pPr>
                              <w:rPr>
                                <w:lang w:val="en-US"/>
                              </w:rPr>
                            </w:pPr>
                            <w:r>
                              <w:rPr>
                                <w:highlight w:val="yellow"/>
                                <w:lang w:val="en-US"/>
                              </w:rPr>
                              <w:t>Difference 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18294" id="_x0000_t202" coordsize="21600,21600" o:spt="202" path="m,l,21600r21600,l21600,xe">
                <v:stroke joinstyle="miter"/>
                <v:path gradientshapeok="t" o:connecttype="rect"/>
              </v:shapetype>
              <v:shape id="Text Box 51" o:spid="_x0000_s1026" type="#_x0000_t202" style="position:absolute;margin-left:30.6pt;margin-top:88.65pt;width:84pt;height:2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" fillcolor="white [3201]" strokeweight=".5pt">
                <v:textbox>
                  <w:txbxContent>
                    <w:p w14:paraId="6C2DC327" w14:textId="77777777" w:rsidR="00B059BB" w:rsidRDefault="00B059BB" w:rsidP="00B059BB">
                      <w:pPr>
                        <w:rPr>
                          <w:lang w:val="en-US"/>
                        </w:rPr>
                      </w:pPr>
                      <w:r>
                        <w:rPr>
                          <w:highlight w:val="yellow"/>
                          <w:lang w:val="en-US"/>
                        </w:rPr>
                        <w:t>Difference 37</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5E9B48CC" wp14:editId="0458F764">
                <wp:simplePos x="0" y="0"/>
                <wp:positionH relativeFrom="column">
                  <wp:posOffset>1455420</wp:posOffset>
                </wp:positionH>
                <wp:positionV relativeFrom="paragraph">
                  <wp:posOffset>640080</wp:posOffset>
                </wp:positionV>
                <wp:extent cx="350520" cy="754380"/>
                <wp:effectExtent l="38100" t="0" r="11430" b="26670"/>
                <wp:wrapNone/>
                <wp:docPr id="50" name="Left Brace 50"/>
                <wp:cNvGraphicFramePr/>
                <a:graphic xmlns:a="http://schemas.openxmlformats.org/drawingml/2006/main">
                  <a:graphicData uri="http://schemas.microsoft.com/office/word/2010/wordprocessingShape">
                    <wps:wsp>
                      <wps:cNvSpPr/>
                      <wps:spPr>
                        <a:xfrm>
                          <a:off x="0" y="0"/>
                          <a:ext cx="350520" cy="754380"/>
                        </a:xfrm>
                        <a:prstGeom prst="leftBrace">
                          <a:avLst>
                            <a:gd name="adj1" fmla="val 8333"/>
                            <a:gd name="adj2" fmla="val 80894"/>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6A76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0" o:spid="_x0000_s1026" type="#_x0000_t87" style="position:absolute;margin-left:114.6pt;margin-top:50.4pt;width:27.6pt;height:59.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" adj="836,17473" strokecolor="#4472c4 [3204]" strokeweight=".5pt">
                <v:stroke joinstyle="miter"/>
              </v:shape>
            </w:pict>
          </mc:Fallback>
        </mc:AlternateContent>
      </w:r>
      <w:r>
        <w:rPr>
          <w:noProof/>
        </w:rPr>
        <mc:AlternateContent>
          <mc:Choice Requires="wps">
            <w:drawing>
              <wp:anchor distT="0" distB="0" distL="114300" distR="114300" simplePos="0" relativeHeight="251658240" behindDoc="0" locked="0" layoutInCell="1" allowOverlap="1" wp14:anchorId="06449C92" wp14:editId="25DEC79C">
                <wp:simplePos x="0" y="0"/>
                <wp:positionH relativeFrom="column">
                  <wp:posOffset>1743075</wp:posOffset>
                </wp:positionH>
                <wp:positionV relativeFrom="paragraph">
                  <wp:posOffset>1068705</wp:posOffset>
                </wp:positionV>
                <wp:extent cx="337185" cy="365760"/>
                <wp:effectExtent l="0" t="0" r="24765" b="15240"/>
                <wp:wrapNone/>
                <wp:docPr id="49" name="Rectangle: Rounded Corners 49"/>
                <wp:cNvGraphicFramePr/>
                <a:graphic xmlns:a="http://schemas.openxmlformats.org/drawingml/2006/main">
                  <a:graphicData uri="http://schemas.microsoft.com/office/word/2010/wordprocessingShape">
                    <wps:wsp>
                      <wps:cNvSpPr/>
                      <wps:spPr>
                        <a:xfrm>
                          <a:off x="0" y="0"/>
                          <a:ext cx="337185" cy="36576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15AAC9" id="Rectangle: Rounded Corners 49" o:spid="_x0000_s1026" style="position:absolute;margin-left:137.25pt;margin-top:84.15pt;width:26.55pt;height:2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" filled="f" strokecolor="red" strokeweight="1.5pt">
                <v:stroke joinstyle="miter"/>
              </v:roundrect>
            </w:pict>
          </mc:Fallback>
        </mc:AlternateContent>
      </w:r>
      <w:r>
        <w:rPr>
          <w:noProof/>
        </w:rPr>
        <mc:AlternateContent>
          <mc:Choice Requires="wps">
            <w:drawing>
              <wp:anchor distT="0" distB="0" distL="114300" distR="114300" simplePos="0" relativeHeight="251658240" behindDoc="0" locked="0" layoutInCell="1" allowOverlap="1" wp14:anchorId="11373414" wp14:editId="511EABD9">
                <wp:simplePos x="0" y="0"/>
                <wp:positionH relativeFrom="column">
                  <wp:posOffset>1125855</wp:posOffset>
                </wp:positionH>
                <wp:positionV relativeFrom="paragraph">
                  <wp:posOffset>377190</wp:posOffset>
                </wp:positionV>
                <wp:extent cx="365760" cy="337185"/>
                <wp:effectExtent l="0" t="0" r="15240" b="24765"/>
                <wp:wrapNone/>
                <wp:docPr id="43" name="Rectangle: Rounded Corners 43"/>
                <wp:cNvGraphicFramePr/>
                <a:graphic xmlns:a="http://schemas.openxmlformats.org/drawingml/2006/main">
                  <a:graphicData uri="http://schemas.microsoft.com/office/word/2010/wordprocessingShape">
                    <wps:wsp>
                      <wps:cNvSpPr/>
                      <wps:spPr>
                        <a:xfrm>
                          <a:off x="0" y="0"/>
                          <a:ext cx="365760" cy="33718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EBCA46" id="Rectangle: Rounded Corners 43" o:spid="_x0000_s1026" style="position:absolute;margin-left:88.65pt;margin-top:29.7pt;width:28.8pt;height:2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" filled="f" strokecolor="red" strokeweight="1.5pt">
                <v:stroke joinstyle="miter"/>
              </v:roundrect>
            </w:pict>
          </mc:Fallback>
        </mc:AlternateContent>
      </w:r>
      <w:r>
        <w:rPr>
          <w:noProof/>
        </w:rPr>
        <mc:AlternateContent>
          <mc:Choice Requires="wps">
            <w:drawing>
              <wp:anchor distT="0" distB="0" distL="114300" distR="114300" simplePos="0" relativeHeight="251658240" behindDoc="0" locked="0" layoutInCell="1" allowOverlap="1" wp14:anchorId="0DD5AF19" wp14:editId="3D6FD298">
                <wp:simplePos x="0" y="0"/>
                <wp:positionH relativeFrom="column">
                  <wp:posOffset>794385</wp:posOffset>
                </wp:positionH>
                <wp:positionV relativeFrom="paragraph">
                  <wp:posOffset>377190</wp:posOffset>
                </wp:positionV>
                <wp:extent cx="320040" cy="337185"/>
                <wp:effectExtent l="0" t="0" r="22860" b="24765"/>
                <wp:wrapNone/>
                <wp:docPr id="37" name="Rectangle: Rounded Corners 37"/>
                <wp:cNvGraphicFramePr/>
                <a:graphic xmlns:a="http://schemas.openxmlformats.org/drawingml/2006/main">
                  <a:graphicData uri="http://schemas.microsoft.com/office/word/2010/wordprocessingShape">
                    <wps:wsp>
                      <wps:cNvSpPr/>
                      <wps:spPr>
                        <a:xfrm>
                          <a:off x="0" y="0"/>
                          <a:ext cx="320040" cy="33718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08AFAC16" id="Rectangle: Rounded Corners 37" o:spid="_x0000_s1026" style="position:absolute;margin-left:62.55pt;margin-top:29.7pt;width:25.2pt;height:2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" filled="f" strokecolor="red" strokeweight="1.5pt">
                <v:stroke joinstyle="miter"/>
              </v:roundrect>
            </w:pict>
          </mc:Fallback>
        </mc:AlternateContent>
      </w:r>
      <w:r>
        <w:rPr>
          <w:noProof/>
        </w:rPr>
        <mc:AlternateContent>
          <mc:Choice Requires="wps">
            <w:drawing>
              <wp:anchor distT="0" distB="0" distL="114300" distR="114300" simplePos="0" relativeHeight="251658240" behindDoc="0" locked="0" layoutInCell="1" allowOverlap="1" wp14:anchorId="59AAFEAA" wp14:editId="324CF5DF">
                <wp:simplePos x="0" y="0"/>
                <wp:positionH relativeFrom="column">
                  <wp:posOffset>1823085</wp:posOffset>
                </wp:positionH>
                <wp:positionV relativeFrom="paragraph">
                  <wp:posOffset>377190</wp:posOffset>
                </wp:positionV>
                <wp:extent cx="320040" cy="451485"/>
                <wp:effectExtent l="0" t="0" r="22860" b="24765"/>
                <wp:wrapNone/>
                <wp:docPr id="36" name="Rectangle: Rounded Corners 36"/>
                <wp:cNvGraphicFramePr/>
                <a:graphic xmlns:a="http://schemas.openxmlformats.org/drawingml/2006/main">
                  <a:graphicData uri="http://schemas.microsoft.com/office/word/2010/wordprocessingShape">
                    <wps:wsp>
                      <wps:cNvSpPr/>
                      <wps:spPr>
                        <a:xfrm>
                          <a:off x="0" y="0"/>
                          <a:ext cx="320040" cy="45148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450DD145" id="Rectangle: Rounded Corners 36" o:spid="_x0000_s1026" style="position:absolute;margin-left:143.55pt;margin-top:29.7pt;width:25.2pt;height:3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" filled="f" strokecolor="red" strokeweight="1.5pt">
                <v:stroke joinstyle="miter"/>
              </v:roundrect>
            </w:pict>
          </mc:Fallback>
        </mc:AlternateContent>
      </w:r>
      <w:r>
        <w:rPr>
          <w:noProof/>
          <w:lang w:val="en-US"/>
        </w:rPr>
        <w:drawing>
          <wp:inline distT="0" distB="0" distL="0" distR="0" wp14:anchorId="4AA4548E" wp14:editId="3D05227D">
            <wp:extent cx="5720080" cy="33953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0080" cy="3395345"/>
                    </a:xfrm>
                    <a:prstGeom prst="rect">
                      <a:avLst/>
                    </a:prstGeom>
                    <a:noFill/>
                    <a:ln>
                      <a:noFill/>
                    </a:ln>
                  </pic:spPr>
                </pic:pic>
              </a:graphicData>
            </a:graphic>
          </wp:inline>
        </w:drawing>
      </w:r>
    </w:p>
    <w:p w14:paraId="1D9B1FD7" w14:textId="77777777" w:rsidR="00B059BB" w:rsidRDefault="00B059BB" w:rsidP="00B059BB">
      <w:pPr>
        <w:rPr>
          <w:lang w:val="en-US"/>
        </w:rPr>
      </w:pPr>
    </w:p>
    <w:p w14:paraId="63213E17" w14:textId="77777777" w:rsidR="00B059BB" w:rsidRDefault="00B059BB" w:rsidP="00B059BB">
      <w:pPr>
        <w:rPr>
          <w:lang w:val="en-US"/>
        </w:rPr>
      </w:pPr>
    </w:p>
    <w:p w14:paraId="0D57E109" w14:textId="77777777" w:rsidR="00B059BB" w:rsidRDefault="00B059BB" w:rsidP="00B059BB">
      <w:pPr>
        <w:spacing w:after="160" w:line="256" w:lineRule="auto"/>
        <w:rPr>
          <w:rFonts w:ascii="Arial" w:hAnsi="Arial" w:cs="Arial"/>
          <w:color w:val="auto"/>
          <w:sz w:val="28"/>
          <w:szCs w:val="28"/>
          <w:lang w:val="en-US"/>
        </w:rPr>
      </w:pPr>
      <w:r>
        <w:rPr>
          <w:rFonts w:ascii="Arial" w:hAnsi="Arial" w:cs="Arial"/>
          <w:color w:val="auto"/>
          <w:sz w:val="28"/>
          <w:szCs w:val="28"/>
          <w:lang w:val="en-US"/>
        </w:rPr>
        <w:t xml:space="preserve">Revision by authors per 20 Jan 2021 @18:19, </w:t>
      </w:r>
      <w:r>
        <w:rPr>
          <w:rFonts w:ascii="Arial" w:hAnsi="Arial" w:cs="Arial"/>
          <w:color w:val="auto"/>
          <w:sz w:val="28"/>
          <w:szCs w:val="28"/>
          <w:highlight w:val="yellow"/>
          <w:u w:val="single"/>
          <w:lang w:val="en-US"/>
        </w:rPr>
        <w:t>without references</w:t>
      </w:r>
    </w:p>
    <w:p w14:paraId="7F60C03A" w14:textId="6345CCFC" w:rsidR="00B059BB" w:rsidRDefault="00B059BB" w:rsidP="00B059BB">
      <w:pPr>
        <w:rPr>
          <w:lang w:val="en-US"/>
        </w:rPr>
      </w:pPr>
      <w:r>
        <w:rPr>
          <w:noProof/>
        </w:rPr>
        <mc:AlternateContent>
          <mc:Choice Requires="wps">
            <w:drawing>
              <wp:anchor distT="0" distB="0" distL="114300" distR="114300" simplePos="0" relativeHeight="251658240" behindDoc="0" locked="0" layoutInCell="1" allowOverlap="1" wp14:anchorId="0FF89C86" wp14:editId="681E08D5">
                <wp:simplePos x="0" y="0"/>
                <wp:positionH relativeFrom="column">
                  <wp:posOffset>611505</wp:posOffset>
                </wp:positionH>
                <wp:positionV relativeFrom="paragraph">
                  <wp:posOffset>287655</wp:posOffset>
                </wp:positionV>
                <wp:extent cx="754380" cy="411480"/>
                <wp:effectExtent l="0" t="0" r="26670" b="26670"/>
                <wp:wrapNone/>
                <wp:docPr id="35" name="Rectangle: Rounded Corners 35"/>
                <wp:cNvGraphicFramePr/>
                <a:graphic xmlns:a="http://schemas.openxmlformats.org/drawingml/2006/main">
                  <a:graphicData uri="http://schemas.microsoft.com/office/word/2010/wordprocessingShape">
                    <wps:wsp>
                      <wps:cNvSpPr/>
                      <wps:spPr>
                        <a:xfrm>
                          <a:off x="0" y="0"/>
                          <a:ext cx="754380" cy="41148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A5B98" id="Rectangle: Rounded Corners 35" o:spid="_x0000_s1026" style="position:absolute;margin-left:48.15pt;margin-top:22.65pt;width:59.4pt;height:3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" filled="f" strokecolor="red" strokeweight="1.5pt">
                <v:stroke joinstyle="miter"/>
              </v:roundrect>
            </w:pict>
          </mc:Fallback>
        </mc:AlternateContent>
      </w:r>
      <w:r>
        <w:rPr>
          <w:noProof/>
        </w:rPr>
        <mc:AlternateContent>
          <mc:Choice Requires="wps">
            <w:drawing>
              <wp:anchor distT="0" distB="0" distL="114300" distR="114300" simplePos="0" relativeHeight="251658240" behindDoc="0" locked="0" layoutInCell="1" allowOverlap="1" wp14:anchorId="4F996F36" wp14:editId="692C6554">
                <wp:simplePos x="0" y="0"/>
                <wp:positionH relativeFrom="column">
                  <wp:posOffset>3158490</wp:posOffset>
                </wp:positionH>
                <wp:positionV relativeFrom="paragraph">
                  <wp:posOffset>735330</wp:posOffset>
                </wp:positionV>
                <wp:extent cx="1097280" cy="120015"/>
                <wp:effectExtent l="0" t="0" r="26670" b="13335"/>
                <wp:wrapNone/>
                <wp:docPr id="34" name="Rectangle: Rounded Corners 34"/>
                <wp:cNvGraphicFramePr/>
                <a:graphic xmlns:a="http://schemas.openxmlformats.org/drawingml/2006/main">
                  <a:graphicData uri="http://schemas.microsoft.com/office/word/2010/wordprocessingShape">
                    <wps:wsp>
                      <wps:cNvSpPr/>
                      <wps:spPr>
                        <a:xfrm>
                          <a:off x="0" y="0"/>
                          <a:ext cx="1097280" cy="12001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348DC8" id="Rectangle: Rounded Corners 34" o:spid="_x0000_s1026" style="position:absolute;margin-left:248.7pt;margin-top:57.9pt;width:86.4pt;height: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" filled="f" strokecolor="red" strokeweight="1.5pt">
                <v:stroke joinstyle="miter"/>
              </v:roundrect>
            </w:pict>
          </mc:Fallback>
        </mc:AlternateContent>
      </w:r>
      <w:r>
        <w:rPr>
          <w:noProof/>
        </w:rPr>
        <mc:AlternateContent>
          <mc:Choice Requires="wps">
            <w:drawing>
              <wp:anchor distT="0" distB="0" distL="114300" distR="114300" simplePos="0" relativeHeight="251658240" behindDoc="0" locked="0" layoutInCell="1" allowOverlap="1" wp14:anchorId="4C4C3CBD" wp14:editId="264B8BF7">
                <wp:simplePos x="0" y="0"/>
                <wp:positionH relativeFrom="column">
                  <wp:posOffset>3194685</wp:posOffset>
                </wp:positionH>
                <wp:positionV relativeFrom="paragraph">
                  <wp:posOffset>2760345</wp:posOffset>
                </wp:positionV>
                <wp:extent cx="1097280" cy="120015"/>
                <wp:effectExtent l="0" t="0" r="26670" b="13335"/>
                <wp:wrapNone/>
                <wp:docPr id="33" name="Rectangle: Rounded Corners 33"/>
                <wp:cNvGraphicFramePr/>
                <a:graphic xmlns:a="http://schemas.openxmlformats.org/drawingml/2006/main">
                  <a:graphicData uri="http://schemas.microsoft.com/office/word/2010/wordprocessingShape">
                    <wps:wsp>
                      <wps:cNvSpPr/>
                      <wps:spPr>
                        <a:xfrm>
                          <a:off x="0" y="0"/>
                          <a:ext cx="1097280" cy="12001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B8DA0E" id="Rectangle: Rounded Corners 33" o:spid="_x0000_s1026" style="position:absolute;margin-left:251.55pt;margin-top:217.35pt;width:86.4pt;height: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" filled="f" strokecolor="red" strokeweight="1.5pt">
                <v:stroke joinstyle="miter"/>
              </v:roundrect>
            </w:pict>
          </mc:Fallback>
        </mc:AlternateContent>
      </w:r>
      <w:r>
        <w:rPr>
          <w:noProof/>
        </w:rPr>
        <mc:AlternateContent>
          <mc:Choice Requires="wps">
            <w:drawing>
              <wp:anchor distT="0" distB="0" distL="114300" distR="114300" simplePos="0" relativeHeight="251658240" behindDoc="0" locked="0" layoutInCell="1" allowOverlap="1" wp14:anchorId="23C2FB80" wp14:editId="24CF8AA5">
                <wp:simplePos x="0" y="0"/>
                <wp:positionH relativeFrom="column">
                  <wp:posOffset>4291965</wp:posOffset>
                </wp:positionH>
                <wp:positionV relativeFrom="paragraph">
                  <wp:posOffset>697230</wp:posOffset>
                </wp:positionV>
                <wp:extent cx="1388745" cy="451485"/>
                <wp:effectExtent l="0" t="0" r="20955" b="24765"/>
                <wp:wrapNone/>
                <wp:docPr id="32" name="Rectangle: Rounded Corners 32"/>
                <wp:cNvGraphicFramePr/>
                <a:graphic xmlns:a="http://schemas.openxmlformats.org/drawingml/2006/main">
                  <a:graphicData uri="http://schemas.microsoft.com/office/word/2010/wordprocessingShape">
                    <wps:wsp>
                      <wps:cNvSpPr/>
                      <wps:spPr>
                        <a:xfrm>
                          <a:off x="0" y="0"/>
                          <a:ext cx="1388745" cy="45148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0BA0C" id="Rectangle: Rounded Corners 32" o:spid="_x0000_s1026" style="position:absolute;margin-left:337.95pt;margin-top:54.9pt;width:109.35pt;height:3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" filled="f" strokecolor="red" strokeweight="1.5pt">
                <v:stroke joinstyle="miter"/>
              </v:roundrect>
            </w:pict>
          </mc:Fallback>
        </mc:AlternateContent>
      </w:r>
      <w:r>
        <w:rPr>
          <w:noProof/>
        </w:rPr>
        <mc:AlternateContent>
          <mc:Choice Requires="wps">
            <w:drawing>
              <wp:anchor distT="0" distB="0" distL="114300" distR="114300" simplePos="0" relativeHeight="251658240" behindDoc="0" locked="0" layoutInCell="1" allowOverlap="1" wp14:anchorId="0A371301" wp14:editId="3544FF53">
                <wp:simplePos x="0" y="0"/>
                <wp:positionH relativeFrom="column">
                  <wp:posOffset>1400175</wp:posOffset>
                </wp:positionH>
                <wp:positionV relativeFrom="paragraph">
                  <wp:posOffset>285750</wp:posOffset>
                </wp:positionV>
                <wp:extent cx="285750" cy="411480"/>
                <wp:effectExtent l="0" t="0" r="19050" b="26670"/>
                <wp:wrapNone/>
                <wp:docPr id="23" name="Rectangle: Rounded Corners 23"/>
                <wp:cNvGraphicFramePr/>
                <a:graphic xmlns:a="http://schemas.openxmlformats.org/drawingml/2006/main">
                  <a:graphicData uri="http://schemas.microsoft.com/office/word/2010/wordprocessingShape">
                    <wps:wsp>
                      <wps:cNvSpPr/>
                      <wps:spPr>
                        <a:xfrm>
                          <a:off x="0" y="0"/>
                          <a:ext cx="285750" cy="41148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763BCF" id="Rectangle: Rounded Corners 23" o:spid="_x0000_s1026" style="position:absolute;margin-left:110.25pt;margin-top:22.5pt;width:22.5pt;height:3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" filled="f" strokecolor="red" strokeweight="1.5pt">
                <v:stroke joinstyle="miter"/>
              </v:roundrect>
            </w:pict>
          </mc:Fallback>
        </mc:AlternateContent>
      </w:r>
      <w:r>
        <w:rPr>
          <w:noProof/>
        </w:rPr>
        <w:drawing>
          <wp:inline distT="0" distB="0" distL="0" distR="0" wp14:anchorId="1D4CB982" wp14:editId="3519BADB">
            <wp:extent cx="5720080" cy="32181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0080" cy="3218180"/>
                    </a:xfrm>
                    <a:prstGeom prst="rect">
                      <a:avLst/>
                    </a:prstGeom>
                    <a:noFill/>
                    <a:ln>
                      <a:noFill/>
                    </a:ln>
                  </pic:spPr>
                </pic:pic>
              </a:graphicData>
            </a:graphic>
          </wp:inline>
        </w:drawing>
      </w:r>
    </w:p>
    <w:p w14:paraId="3DBB667C" w14:textId="77777777" w:rsidR="00B059BB" w:rsidRDefault="00B059BB" w:rsidP="00B059BB">
      <w:pPr>
        <w:rPr>
          <w:lang w:val="en-US"/>
        </w:rPr>
      </w:pPr>
    </w:p>
    <w:p w14:paraId="59576ECC" w14:textId="77777777" w:rsidR="00B059BB" w:rsidRDefault="00B059BB" w:rsidP="00B059BB">
      <w:pPr>
        <w:spacing w:after="160" w:line="256" w:lineRule="auto"/>
        <w:rPr>
          <w:lang w:val="en-US"/>
        </w:rPr>
      </w:pPr>
      <w:r>
        <w:rPr>
          <w:lang w:val="en-US"/>
        </w:rPr>
        <w:br w:type="page"/>
      </w:r>
    </w:p>
    <w:p w14:paraId="0A427A74" w14:textId="77777777" w:rsidR="00B059BB" w:rsidRDefault="00B059BB" w:rsidP="00B059BB">
      <w:pPr>
        <w:spacing w:after="160" w:line="256" w:lineRule="auto"/>
        <w:rPr>
          <w:rFonts w:ascii="Arial" w:hAnsi="Arial" w:cs="Arial"/>
          <w:color w:val="auto"/>
          <w:sz w:val="28"/>
          <w:szCs w:val="28"/>
          <w:lang w:val="en-US"/>
        </w:rPr>
      </w:pPr>
      <w:r>
        <w:rPr>
          <w:rFonts w:ascii="Arial" w:hAnsi="Arial" w:cs="Arial"/>
          <w:color w:val="auto"/>
          <w:sz w:val="28"/>
          <w:szCs w:val="28"/>
          <w:lang w:val="en-US"/>
        </w:rPr>
        <w:lastRenderedPageBreak/>
        <w:t xml:space="preserve">Revision by authors per 20 Jan 2021 @18:29, </w:t>
      </w:r>
      <w:r>
        <w:rPr>
          <w:rFonts w:ascii="Arial" w:hAnsi="Arial" w:cs="Arial"/>
          <w:color w:val="auto"/>
          <w:sz w:val="28"/>
          <w:szCs w:val="28"/>
          <w:highlight w:val="yellow"/>
          <w:u w:val="single"/>
          <w:lang w:val="en-US"/>
        </w:rPr>
        <w:t>with references</w:t>
      </w:r>
    </w:p>
    <w:p w14:paraId="33606EA9" w14:textId="56603864" w:rsidR="00B059BB" w:rsidRDefault="00B059BB" w:rsidP="00B059BB">
      <w:pPr>
        <w:rPr>
          <w:lang w:val="en-US"/>
        </w:rPr>
      </w:pPr>
      <w:r>
        <w:rPr>
          <w:noProof/>
        </w:rPr>
        <mc:AlternateContent>
          <mc:Choice Requires="wps">
            <w:drawing>
              <wp:anchor distT="0" distB="0" distL="114300" distR="114300" simplePos="0" relativeHeight="251658240" behindDoc="0" locked="0" layoutInCell="1" allowOverlap="1" wp14:anchorId="7DE0B4FF" wp14:editId="2F11BBD9">
                <wp:simplePos x="0" y="0"/>
                <wp:positionH relativeFrom="column">
                  <wp:posOffset>1400175</wp:posOffset>
                </wp:positionH>
                <wp:positionV relativeFrom="paragraph">
                  <wp:posOffset>278130</wp:posOffset>
                </wp:positionV>
                <wp:extent cx="285750" cy="411480"/>
                <wp:effectExtent l="0" t="0" r="19050" b="26670"/>
                <wp:wrapNone/>
                <wp:docPr id="24" name="Rectangle: Rounded Corners 24"/>
                <wp:cNvGraphicFramePr/>
                <a:graphic xmlns:a="http://schemas.openxmlformats.org/drawingml/2006/main">
                  <a:graphicData uri="http://schemas.microsoft.com/office/word/2010/wordprocessingShape">
                    <wps:wsp>
                      <wps:cNvSpPr/>
                      <wps:spPr>
                        <a:xfrm>
                          <a:off x="0" y="0"/>
                          <a:ext cx="285750" cy="41148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C8F47F" id="Rectangle: Rounded Corners 24" o:spid="_x0000_s1026" style="position:absolute;margin-left:110.25pt;margin-top:21.9pt;width:22.5pt;height:3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" filled="f" strokecolor="red" strokeweight="1.5pt">
                <v:stroke joinstyle="miter"/>
              </v:roundrect>
            </w:pict>
          </mc:Fallback>
        </mc:AlternateContent>
      </w:r>
      <w:r>
        <w:rPr>
          <w:noProof/>
        </w:rPr>
        <mc:AlternateContent>
          <mc:Choice Requires="wps">
            <w:drawing>
              <wp:anchor distT="0" distB="0" distL="114300" distR="114300" simplePos="0" relativeHeight="251658240" behindDoc="0" locked="0" layoutInCell="1" allowOverlap="1" wp14:anchorId="308C9E36" wp14:editId="2AFE6F36">
                <wp:simplePos x="0" y="0"/>
                <wp:positionH relativeFrom="column">
                  <wp:posOffset>4291965</wp:posOffset>
                </wp:positionH>
                <wp:positionV relativeFrom="paragraph">
                  <wp:posOffset>689610</wp:posOffset>
                </wp:positionV>
                <wp:extent cx="1388745" cy="451485"/>
                <wp:effectExtent l="0" t="0" r="20955" b="24765"/>
                <wp:wrapNone/>
                <wp:docPr id="25" name="Rectangle: Rounded Corners 25"/>
                <wp:cNvGraphicFramePr/>
                <a:graphic xmlns:a="http://schemas.openxmlformats.org/drawingml/2006/main">
                  <a:graphicData uri="http://schemas.microsoft.com/office/word/2010/wordprocessingShape">
                    <wps:wsp>
                      <wps:cNvSpPr/>
                      <wps:spPr>
                        <a:xfrm>
                          <a:off x="0" y="0"/>
                          <a:ext cx="1388745" cy="45148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04428" id="Rectangle: Rounded Corners 25" o:spid="_x0000_s1026" style="position:absolute;margin-left:337.95pt;margin-top:54.3pt;width:109.35pt;height:3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" filled="f" strokecolor="red" strokeweight="1.5pt">
                <v:stroke joinstyle="miter"/>
              </v:roundrect>
            </w:pict>
          </mc:Fallback>
        </mc:AlternateContent>
      </w:r>
      <w:r>
        <w:rPr>
          <w:noProof/>
        </w:rPr>
        <mc:AlternateContent>
          <mc:Choice Requires="wps">
            <w:drawing>
              <wp:anchor distT="0" distB="0" distL="114300" distR="114300" simplePos="0" relativeHeight="251658240" behindDoc="0" locked="0" layoutInCell="1" allowOverlap="1" wp14:anchorId="1D9E55F6" wp14:editId="4669D9D2">
                <wp:simplePos x="0" y="0"/>
                <wp:positionH relativeFrom="column">
                  <wp:posOffset>3194685</wp:posOffset>
                </wp:positionH>
                <wp:positionV relativeFrom="paragraph">
                  <wp:posOffset>2752725</wp:posOffset>
                </wp:positionV>
                <wp:extent cx="1097280" cy="120015"/>
                <wp:effectExtent l="0" t="0" r="26670" b="13335"/>
                <wp:wrapNone/>
                <wp:docPr id="26" name="Rectangle: Rounded Corners 26"/>
                <wp:cNvGraphicFramePr/>
                <a:graphic xmlns:a="http://schemas.openxmlformats.org/drawingml/2006/main">
                  <a:graphicData uri="http://schemas.microsoft.com/office/word/2010/wordprocessingShape">
                    <wps:wsp>
                      <wps:cNvSpPr/>
                      <wps:spPr>
                        <a:xfrm>
                          <a:off x="0" y="0"/>
                          <a:ext cx="1097280" cy="12001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DD8F35" id="Rectangle: Rounded Corners 26" o:spid="_x0000_s1026" style="position:absolute;margin-left:251.55pt;margin-top:216.75pt;width:86.4pt;height: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" filled="f" strokecolor="red" strokeweight="1.5pt">
                <v:stroke joinstyle="miter"/>
              </v:roundrect>
            </w:pict>
          </mc:Fallback>
        </mc:AlternateContent>
      </w:r>
      <w:r>
        <w:rPr>
          <w:noProof/>
        </w:rPr>
        <mc:AlternateContent>
          <mc:Choice Requires="wps">
            <w:drawing>
              <wp:anchor distT="0" distB="0" distL="114300" distR="114300" simplePos="0" relativeHeight="251658240" behindDoc="0" locked="0" layoutInCell="1" allowOverlap="1" wp14:anchorId="5E5477C3" wp14:editId="7A7324D6">
                <wp:simplePos x="0" y="0"/>
                <wp:positionH relativeFrom="column">
                  <wp:posOffset>3158490</wp:posOffset>
                </wp:positionH>
                <wp:positionV relativeFrom="paragraph">
                  <wp:posOffset>727710</wp:posOffset>
                </wp:positionV>
                <wp:extent cx="1097280" cy="120015"/>
                <wp:effectExtent l="0" t="0" r="26670" b="13335"/>
                <wp:wrapNone/>
                <wp:docPr id="22" name="Rectangle: Rounded Corners 22"/>
                <wp:cNvGraphicFramePr/>
                <a:graphic xmlns:a="http://schemas.openxmlformats.org/drawingml/2006/main">
                  <a:graphicData uri="http://schemas.microsoft.com/office/word/2010/wordprocessingShape">
                    <wps:wsp>
                      <wps:cNvSpPr/>
                      <wps:spPr>
                        <a:xfrm>
                          <a:off x="0" y="0"/>
                          <a:ext cx="1097280" cy="120015"/>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08D39" id="Rectangle: Rounded Corners 22" o:spid="_x0000_s1026" style="position:absolute;margin-left:248.7pt;margin-top:57.3pt;width:86.4pt;height:9.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" filled="f" strokecolor="red" strokeweight="1.5pt">
                <v:stroke joinstyle="miter"/>
              </v:roundrect>
            </w:pict>
          </mc:Fallback>
        </mc:AlternateContent>
      </w:r>
      <w:r>
        <w:rPr>
          <w:noProof/>
        </w:rPr>
        <mc:AlternateContent>
          <mc:Choice Requires="wps">
            <w:drawing>
              <wp:anchor distT="0" distB="0" distL="114300" distR="114300" simplePos="0" relativeHeight="251658240" behindDoc="0" locked="0" layoutInCell="1" allowOverlap="1" wp14:anchorId="698352EC" wp14:editId="16D50CBB">
                <wp:simplePos x="0" y="0"/>
                <wp:positionH relativeFrom="column">
                  <wp:posOffset>611505</wp:posOffset>
                </wp:positionH>
                <wp:positionV relativeFrom="paragraph">
                  <wp:posOffset>280035</wp:posOffset>
                </wp:positionV>
                <wp:extent cx="754380" cy="411480"/>
                <wp:effectExtent l="0" t="0" r="26670" b="26670"/>
                <wp:wrapNone/>
                <wp:docPr id="18" name="Rectangle: Rounded Corners 18"/>
                <wp:cNvGraphicFramePr/>
                <a:graphic xmlns:a="http://schemas.openxmlformats.org/drawingml/2006/main">
                  <a:graphicData uri="http://schemas.microsoft.com/office/word/2010/wordprocessingShape">
                    <wps:wsp>
                      <wps:cNvSpPr/>
                      <wps:spPr>
                        <a:xfrm>
                          <a:off x="0" y="0"/>
                          <a:ext cx="754380" cy="411480"/>
                        </a:xfrm>
                        <a:prstGeom prst="round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CE0E90" id="Rectangle: Rounded Corners 18" o:spid="_x0000_s1026" style="position:absolute;margin-left:48.15pt;margin-top:22.05pt;width:59.4pt;height:3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" filled="f" strokecolor="red" strokeweight="1.5pt">
                <v:stroke joinstyle="miter"/>
              </v:roundrect>
            </w:pict>
          </mc:Fallback>
        </mc:AlternateContent>
      </w:r>
      <w:r>
        <w:rPr>
          <w:noProof/>
        </w:rPr>
        <w:drawing>
          <wp:inline distT="0" distB="0" distL="0" distR="0" wp14:anchorId="2375759D" wp14:editId="04BB9155">
            <wp:extent cx="5720080" cy="32181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0080" cy="3218180"/>
                    </a:xfrm>
                    <a:prstGeom prst="rect">
                      <a:avLst/>
                    </a:prstGeom>
                    <a:noFill/>
                    <a:ln>
                      <a:noFill/>
                    </a:ln>
                  </pic:spPr>
                </pic:pic>
              </a:graphicData>
            </a:graphic>
          </wp:inline>
        </w:drawing>
      </w:r>
    </w:p>
    <w:p w14:paraId="15821DEB" w14:textId="77777777" w:rsidR="00B059BB" w:rsidRDefault="00B059BB" w:rsidP="00B059BB"/>
    <w:p w14:paraId="3BC26FA7" w14:textId="77777777" w:rsidR="00B059BB" w:rsidRDefault="00B059BB" w:rsidP="00B059BB"/>
    <w:p w14:paraId="38602D1F" w14:textId="20AA85AA" w:rsidR="004025B0" w:rsidRDefault="004025B0" w:rsidP="00137F8E">
      <w:pPr>
        <w:pBdr>
          <w:top w:val="nil"/>
          <w:left w:val="nil"/>
          <w:bottom w:val="nil"/>
          <w:right w:val="nil"/>
          <w:between w:val="nil"/>
        </w:pBdr>
        <w:shd w:val="clear" w:color="auto" w:fill="FFFFFF"/>
        <w:spacing w:after="150"/>
        <w:rPr>
          <w:noProof/>
        </w:rPr>
      </w:pPr>
    </w:p>
    <w:p w14:paraId="48D68B0C" w14:textId="646A2571" w:rsidR="00B059BB" w:rsidRDefault="00B059BB">
      <w:pPr>
        <w:spacing w:after="160" w:line="259" w:lineRule="auto"/>
        <w:rPr>
          <w:noProof/>
        </w:rPr>
      </w:pPr>
      <w:r>
        <w:rPr>
          <w:noProof/>
        </w:rPr>
        <w:br w:type="page"/>
      </w:r>
    </w:p>
    <w:p w14:paraId="572B5DC8" w14:textId="77777777" w:rsidR="00B059BB" w:rsidRPr="005A4C7D" w:rsidRDefault="00B059BB" w:rsidP="00137F8E">
      <w:pPr>
        <w:pBdr>
          <w:top w:val="nil"/>
          <w:left w:val="nil"/>
          <w:bottom w:val="nil"/>
          <w:right w:val="nil"/>
          <w:between w:val="nil"/>
        </w:pBdr>
        <w:shd w:val="clear" w:color="auto" w:fill="FFFFFF"/>
        <w:spacing w:after="150"/>
        <w:rPr>
          <w:rFonts w:eastAsia="Arial"/>
          <w:b/>
        </w:rPr>
      </w:pPr>
    </w:p>
    <w:p w14:paraId="42C83FCE" w14:textId="77920895" w:rsidR="00137F8E" w:rsidRPr="005A4C7D" w:rsidRDefault="00137F8E" w:rsidP="00137F8E">
      <w:pPr>
        <w:pBdr>
          <w:top w:val="nil"/>
          <w:left w:val="nil"/>
          <w:bottom w:val="nil"/>
          <w:right w:val="nil"/>
          <w:between w:val="nil"/>
        </w:pBdr>
        <w:shd w:val="clear" w:color="auto" w:fill="FFFFFF"/>
        <w:spacing w:after="150"/>
        <w:rPr>
          <w:rFonts w:eastAsia="Arial"/>
        </w:rPr>
      </w:pPr>
      <w:r w:rsidRPr="005A4C7D">
        <w:rPr>
          <w:rFonts w:eastAsia="Arial"/>
          <w:b/>
        </w:rPr>
        <w:t>About the Author</w:t>
      </w:r>
    </w:p>
    <w:p w14:paraId="1744990E" w14:textId="0779B3E4" w:rsidR="00137F8E" w:rsidRPr="005A4C7D" w:rsidRDefault="00137F8E" w:rsidP="00137F8E">
      <w:pPr>
        <w:pBdr>
          <w:top w:val="nil"/>
          <w:left w:val="nil"/>
          <w:bottom w:val="nil"/>
          <w:right w:val="nil"/>
          <w:between w:val="nil"/>
        </w:pBdr>
        <w:shd w:val="clear" w:color="auto" w:fill="FFFFFF"/>
        <w:spacing w:after="150"/>
        <w:jc w:val="both"/>
        <w:rPr>
          <w:rFonts w:eastAsia="Arial"/>
        </w:rPr>
      </w:pPr>
      <w:r w:rsidRPr="005A4C7D">
        <w:rPr>
          <w:rFonts w:eastAsia="Arial"/>
          <w:b/>
        </w:rPr>
        <w:t>Ingratubun, Muhammad Amir</w:t>
      </w:r>
      <w:r w:rsidRPr="005A4C7D">
        <w:rPr>
          <w:rFonts w:eastAsia="Arial"/>
        </w:rPr>
        <w:t xml:space="preserve"> is a Ph.D. candidate in Regional and Rural Development Planning at IPB University, Bogor, Indonesia</w:t>
      </w:r>
      <w:r w:rsidR="0081742D">
        <w:rPr>
          <w:rFonts w:eastAsia="Arial"/>
        </w:rPr>
        <w:t xml:space="preserve">. </w:t>
      </w:r>
      <w:r w:rsidRPr="005A4C7D">
        <w:rPr>
          <w:rFonts w:eastAsia="Arial"/>
        </w:rPr>
        <w:t>He received his Insinyur (BSc) degree in Civil (Structural and Hydropower) engineering from Hasanuddin University, South Sulawesi, Indonesia; a Master (MSc) in Construction Management from The University of Reading, Reading, UK; and an MSc</w:t>
      </w:r>
      <w:r w:rsidR="0081742D">
        <w:rPr>
          <w:rFonts w:eastAsia="Arial"/>
        </w:rPr>
        <w:t xml:space="preserve">. </w:t>
      </w:r>
      <w:r w:rsidRPr="005A4C7D">
        <w:rPr>
          <w:rFonts w:eastAsia="Arial"/>
        </w:rPr>
        <w:t>Eng. in energy conversion technology from Bremerhaven University of Applied Sciences, Bremerhaven, Germany. He has worked as a portfolio manager</w:t>
      </w:r>
      <w:r w:rsidR="00E51683">
        <w:rPr>
          <w:rFonts w:eastAsia="Arial"/>
          <w:lang w:val="en-US"/>
        </w:rPr>
        <w:t xml:space="preserve"> for a development </w:t>
      </w:r>
      <w:r w:rsidR="0081742D">
        <w:rPr>
          <w:rFonts w:eastAsia="Arial"/>
          <w:lang w:val="en-US"/>
        </w:rPr>
        <w:t>bank,</w:t>
      </w:r>
      <w:r w:rsidRPr="005A4C7D">
        <w:rPr>
          <w:rFonts w:eastAsia="Arial"/>
        </w:rPr>
        <w:t xml:space="preserve"> </w:t>
      </w:r>
      <w:r w:rsidR="00E51683">
        <w:rPr>
          <w:rFonts w:eastAsia="Arial"/>
          <w:lang w:val="en-US"/>
        </w:rPr>
        <w:t>managing</w:t>
      </w:r>
      <w:r w:rsidRPr="005A4C7D">
        <w:rPr>
          <w:rFonts w:eastAsia="Arial"/>
        </w:rPr>
        <w:t xml:space="preserve"> over $1 billion in infrastructure loan projects</w:t>
      </w:r>
      <w:r w:rsidR="0081742D">
        <w:rPr>
          <w:rFonts w:eastAsia="Arial"/>
        </w:rPr>
        <w:t xml:space="preserve">. </w:t>
      </w:r>
      <w:r w:rsidRPr="005A4C7D">
        <w:rPr>
          <w:rFonts w:eastAsia="Arial"/>
        </w:rPr>
        <w:t>He is currently managing private capital for infrastructure development of over $1.5 billion</w:t>
      </w:r>
      <w:r w:rsidR="0081742D">
        <w:rPr>
          <w:rFonts w:eastAsia="Arial"/>
        </w:rPr>
        <w:t xml:space="preserve">. </w:t>
      </w:r>
      <w:r w:rsidRPr="005A4C7D">
        <w:rPr>
          <w:rFonts w:eastAsia="Arial"/>
        </w:rPr>
        <w:t xml:space="preserve">He has reviewed over 150 publications and has several </w:t>
      </w:r>
      <w:r w:rsidR="00B5685E" w:rsidRPr="005A4C7D">
        <w:rPr>
          <w:rFonts w:eastAsia="Arial"/>
        </w:rPr>
        <w:t>publications,</w:t>
      </w:r>
      <w:r w:rsidRPr="005A4C7D">
        <w:rPr>
          <w:rFonts w:eastAsia="Arial"/>
        </w:rPr>
        <w:t xml:space="preserve"> both solely </w:t>
      </w:r>
      <w:r w:rsidR="00B5685E" w:rsidRPr="005A4C7D">
        <w:rPr>
          <w:rFonts w:eastAsia="Arial"/>
        </w:rPr>
        <w:t>and</w:t>
      </w:r>
      <w:r w:rsidRPr="005A4C7D">
        <w:rPr>
          <w:rFonts w:eastAsia="Arial"/>
        </w:rPr>
        <w:t xml:space="preserve"> in a team.</w:t>
      </w:r>
    </w:p>
    <w:p w14:paraId="3DB0720C" w14:textId="4E3CAEE2" w:rsidR="00137F8E" w:rsidRPr="005A4C7D" w:rsidRDefault="00137F8E" w:rsidP="00137F8E">
      <w:pPr>
        <w:rPr>
          <w:rFonts w:eastAsia="Arial"/>
        </w:rPr>
      </w:pPr>
      <w:r w:rsidRPr="005A4C7D">
        <w:rPr>
          <w:rFonts w:eastAsia="Arial"/>
          <w:b/>
        </w:rPr>
        <w:t>Author contact details</w:t>
      </w:r>
      <w:r w:rsidRPr="005A4C7D">
        <w:rPr>
          <w:rFonts w:eastAsia="Arial"/>
        </w:rPr>
        <w:t>:</w:t>
      </w:r>
    </w:p>
    <w:p w14:paraId="35140689" w14:textId="77777777" w:rsidR="00137F8E" w:rsidRPr="005A4C7D" w:rsidRDefault="00137F8E" w:rsidP="00137F8E">
      <w:pPr>
        <w:jc w:val="both"/>
        <w:rPr>
          <w:rFonts w:eastAsia="Arial"/>
        </w:rPr>
      </w:pPr>
      <w:r w:rsidRPr="005A4C7D">
        <w:rPr>
          <w:rFonts w:eastAsia="Arial"/>
        </w:rPr>
        <w:t>Sekretariat PS PWD, Gedung FEMA Wing 10 Level 4 Jawa Barat, Indonesia, Jl. Kamper, Kampus IPB Dramaga Bogor, Jawa Barat, Indonesia 16680</w:t>
      </w:r>
    </w:p>
    <w:p w14:paraId="5C4B76E1" w14:textId="79B84254" w:rsidR="00137F8E" w:rsidRPr="005A4C7D" w:rsidRDefault="00137F8E" w:rsidP="00137F8E">
      <w:pPr>
        <w:rPr>
          <w:rFonts w:eastAsia="Arial"/>
        </w:rPr>
      </w:pPr>
      <w:r w:rsidRPr="005A4C7D">
        <w:rPr>
          <w:rFonts w:eastAsia="Arial"/>
        </w:rPr>
        <w:t>Telp / Fax: +62 251 8422143</w:t>
      </w:r>
      <w:r w:rsidR="00D24F38">
        <w:rPr>
          <w:rFonts w:eastAsia="Arial"/>
          <w:lang w:val="en-US"/>
        </w:rPr>
        <w:t>;</w:t>
      </w:r>
      <w:r w:rsidRPr="005A4C7D">
        <w:rPr>
          <w:rFonts w:eastAsia="Arial"/>
        </w:rPr>
        <w:t xml:space="preserve"> email: pspwdipb@gmail.com. </w:t>
      </w:r>
      <w:r w:rsidRPr="005A4C7D">
        <w:t>http://pwd.ipb.ac.id/</w:t>
      </w:r>
    </w:p>
    <w:p w14:paraId="561C9005" w14:textId="0CB265CD" w:rsidR="00137F8E" w:rsidRPr="005A4C7D" w:rsidRDefault="00E51683" w:rsidP="00137F8E">
      <w:pPr>
        <w:rPr>
          <w:rFonts w:eastAsia="Arial"/>
        </w:rPr>
      </w:pPr>
      <w:r>
        <w:rPr>
          <w:rFonts w:eastAsia="Arial"/>
          <w:lang w:val="en-US"/>
        </w:rPr>
        <w:t>E</w:t>
      </w:r>
      <w:r w:rsidR="00137F8E" w:rsidRPr="005A4C7D">
        <w:rPr>
          <w:rFonts w:eastAsia="Arial"/>
        </w:rPr>
        <w:t>mail: aingratubun@gmail.com; ingratubun_ma@apps.ipb.ac.id</w:t>
      </w:r>
    </w:p>
    <w:p w14:paraId="20CDFA71" w14:textId="77777777" w:rsidR="00137F8E" w:rsidRPr="005A4C7D" w:rsidRDefault="00137F8E" w:rsidP="00137F8E">
      <w:pPr>
        <w:pBdr>
          <w:top w:val="nil"/>
          <w:left w:val="nil"/>
          <w:bottom w:val="nil"/>
          <w:right w:val="nil"/>
          <w:between w:val="nil"/>
        </w:pBdr>
        <w:shd w:val="clear" w:color="auto" w:fill="FFFFFF"/>
        <w:spacing w:after="150"/>
        <w:rPr>
          <w:rFonts w:eastAsia="Arial"/>
        </w:rPr>
      </w:pPr>
    </w:p>
    <w:p w14:paraId="190D86BD" w14:textId="4BC26E5E" w:rsidR="00137F8E" w:rsidRPr="005A4C7D" w:rsidRDefault="00137F8E" w:rsidP="00137F8E">
      <w:pPr>
        <w:pBdr>
          <w:top w:val="nil"/>
          <w:left w:val="nil"/>
          <w:bottom w:val="nil"/>
          <w:right w:val="nil"/>
          <w:between w:val="nil"/>
        </w:pBdr>
        <w:shd w:val="clear" w:color="auto" w:fill="FFFFFF"/>
        <w:spacing w:after="150"/>
        <w:rPr>
          <w:rFonts w:eastAsia="Arial"/>
          <w:lang w:val="en-US"/>
        </w:rPr>
      </w:pPr>
      <w:r w:rsidRPr="005A4C7D">
        <w:rPr>
          <w:rFonts w:eastAsia="Arial"/>
        </w:rPr>
        <w:t>The co-authors are Ph.D. supervisors</w:t>
      </w:r>
      <w:r w:rsidR="0081742D">
        <w:rPr>
          <w:rFonts w:eastAsia="Arial"/>
        </w:rPr>
        <w:t xml:space="preserve">. </w:t>
      </w:r>
      <w:r w:rsidR="00B5685E" w:rsidRPr="005A4C7D">
        <w:rPr>
          <w:rFonts w:eastAsia="Arial"/>
          <w:lang w:val="en-US"/>
        </w:rPr>
        <w:t xml:space="preserve">I will inform </w:t>
      </w:r>
      <w:r w:rsidR="000925F5">
        <w:rPr>
          <w:rFonts w:eastAsia="Arial"/>
          <w:lang w:val="en-US"/>
        </w:rPr>
        <w:t>t</w:t>
      </w:r>
      <w:r w:rsidR="00B5685E" w:rsidRPr="005A4C7D">
        <w:rPr>
          <w:rFonts w:eastAsia="Arial"/>
          <w:lang w:val="en-US"/>
        </w:rPr>
        <w:t>heir n</w:t>
      </w:r>
      <w:r w:rsidRPr="005A4C7D">
        <w:rPr>
          <w:rFonts w:eastAsia="Arial"/>
        </w:rPr>
        <w:t>ames</w:t>
      </w:r>
      <w:r w:rsidR="00B5685E" w:rsidRPr="005A4C7D">
        <w:rPr>
          <w:rFonts w:eastAsia="Arial"/>
          <w:lang w:val="en-US"/>
        </w:rPr>
        <w:t xml:space="preserve"> subject to the reviewers’ committee approval.</w:t>
      </w:r>
    </w:p>
    <w:p w14:paraId="36F6B14A" w14:textId="17DCFED9" w:rsidR="00137F8E" w:rsidRPr="005A4C7D" w:rsidRDefault="00137F8E" w:rsidP="00137F8E">
      <w:pPr>
        <w:rPr>
          <w:rFonts w:eastAsia="Arial"/>
          <w:i/>
          <w:lang w:val="en-US"/>
        </w:rPr>
      </w:pPr>
      <w:r w:rsidRPr="005A4C7D">
        <w:rPr>
          <w:rFonts w:eastAsia="Arial"/>
          <w:b/>
        </w:rPr>
        <w:t>Author contact details</w:t>
      </w:r>
      <w:r w:rsidRPr="005A4C7D">
        <w:rPr>
          <w:rFonts w:eastAsia="Arial"/>
        </w:rPr>
        <w:t>:</w:t>
      </w:r>
      <w:r w:rsidR="00B5685E" w:rsidRPr="005A4C7D">
        <w:rPr>
          <w:rFonts w:eastAsia="Arial"/>
          <w:lang w:val="en-US"/>
        </w:rPr>
        <w:t xml:space="preserve"> </w:t>
      </w:r>
      <w:r w:rsidR="000925F5">
        <w:rPr>
          <w:rFonts w:eastAsia="Arial"/>
          <w:lang w:val="en-US"/>
        </w:rPr>
        <w:t>I w</w:t>
      </w:r>
      <w:r w:rsidR="00B5685E" w:rsidRPr="005A4C7D">
        <w:rPr>
          <w:rFonts w:eastAsia="Arial"/>
          <w:lang w:val="en-US"/>
        </w:rPr>
        <w:t xml:space="preserve">ill inform </w:t>
      </w:r>
      <w:r w:rsidR="000925F5">
        <w:rPr>
          <w:rFonts w:eastAsia="Arial"/>
          <w:lang w:val="en-US"/>
        </w:rPr>
        <w:t xml:space="preserve">you </w:t>
      </w:r>
      <w:r w:rsidR="00B5685E" w:rsidRPr="005A4C7D">
        <w:rPr>
          <w:rFonts w:eastAsia="Arial"/>
          <w:lang w:val="en-US"/>
        </w:rPr>
        <w:t>later.</w:t>
      </w:r>
    </w:p>
    <w:p w14:paraId="30FC394D" w14:textId="77777777" w:rsidR="00137F8E" w:rsidRPr="005A4C7D" w:rsidRDefault="00137F8E" w:rsidP="00137F8E">
      <w:pPr>
        <w:jc w:val="center"/>
        <w:rPr>
          <w:rFonts w:eastAsia="Arial"/>
          <w:sz w:val="40"/>
          <w:szCs w:val="40"/>
        </w:rPr>
      </w:pPr>
      <w:r w:rsidRPr="005A4C7D">
        <w:br w:type="page"/>
      </w:r>
    </w:p>
    <w:p w14:paraId="316189CC" w14:textId="77777777" w:rsidR="00137F8E" w:rsidRPr="005A4C7D" w:rsidRDefault="00137F8E" w:rsidP="00137F8E">
      <w:pPr>
        <w:jc w:val="center"/>
        <w:rPr>
          <w:rFonts w:eastAsia="Arial"/>
          <w:sz w:val="40"/>
          <w:szCs w:val="40"/>
        </w:rPr>
      </w:pPr>
      <w:r w:rsidRPr="005A4C7D">
        <w:rPr>
          <w:rFonts w:eastAsia="Arial"/>
          <w:sz w:val="40"/>
          <w:szCs w:val="40"/>
        </w:rPr>
        <w:lastRenderedPageBreak/>
        <w:t>Dutch Curse on Indonesia: Unemployment by Asian Development Bank (ADB) Loan Projects</w:t>
      </w:r>
    </w:p>
    <w:p w14:paraId="05F01647" w14:textId="77777777" w:rsidR="00137F8E" w:rsidRPr="005A4C7D" w:rsidRDefault="00137F8E" w:rsidP="00137F8E">
      <w:pPr>
        <w:rPr>
          <w:rFonts w:eastAsia="Arial"/>
        </w:rPr>
      </w:pPr>
    </w:p>
    <w:p w14:paraId="669359FD" w14:textId="77777777" w:rsidR="00137F8E" w:rsidRPr="005A4C7D" w:rsidRDefault="00137F8E" w:rsidP="00137F8E">
      <w:pPr>
        <w:jc w:val="center"/>
        <w:rPr>
          <w:rFonts w:eastAsia="Arial"/>
          <w:b/>
        </w:rPr>
      </w:pPr>
      <w:r w:rsidRPr="005A4C7D">
        <w:rPr>
          <w:rFonts w:eastAsia="Arial"/>
          <w:b/>
        </w:rPr>
        <w:t>Ingratubun, Muhammad Amir*</w:t>
      </w:r>
    </w:p>
    <w:p w14:paraId="3DF02197" w14:textId="54B576CD" w:rsidR="00137F8E" w:rsidRPr="005A4C7D" w:rsidRDefault="00137F8E" w:rsidP="00137F8E">
      <w:pPr>
        <w:jc w:val="center"/>
        <w:rPr>
          <w:rFonts w:eastAsia="Arial"/>
          <w:b/>
        </w:rPr>
      </w:pPr>
      <w:r w:rsidRPr="005A4C7D">
        <w:rPr>
          <w:rFonts w:eastAsia="Arial"/>
          <w:b/>
        </w:rPr>
        <w:t>1</w:t>
      </w:r>
      <w:r w:rsidR="00106913">
        <w:rPr>
          <w:rFonts w:eastAsia="Arial"/>
          <w:b/>
        </w:rPr>
        <w:t>...</w:t>
      </w:r>
    </w:p>
    <w:p w14:paraId="40458029" w14:textId="77777777" w:rsidR="00137F8E" w:rsidRPr="005A4C7D" w:rsidRDefault="00137F8E" w:rsidP="00137F8E">
      <w:pPr>
        <w:jc w:val="center"/>
        <w:rPr>
          <w:rFonts w:eastAsia="Arial"/>
          <w:i/>
          <w:sz w:val="20"/>
        </w:rPr>
      </w:pPr>
      <w:r w:rsidRPr="005A4C7D">
        <w:rPr>
          <w:rFonts w:eastAsia="Arial"/>
          <w:i/>
          <w:sz w:val="20"/>
        </w:rPr>
        <w:t xml:space="preserve">Ph.D. Candidate, Regional and Rural Planning and Development Department, </w:t>
      </w:r>
    </w:p>
    <w:p w14:paraId="45528AB9" w14:textId="77777777" w:rsidR="00137F8E" w:rsidRPr="005A4C7D" w:rsidRDefault="00137F8E" w:rsidP="00137F8E">
      <w:pPr>
        <w:jc w:val="center"/>
        <w:rPr>
          <w:rFonts w:eastAsia="Arial"/>
          <w:i/>
          <w:sz w:val="20"/>
        </w:rPr>
      </w:pPr>
      <w:r w:rsidRPr="005A4C7D">
        <w:rPr>
          <w:rFonts w:eastAsia="Arial"/>
          <w:i/>
          <w:sz w:val="20"/>
        </w:rPr>
        <w:t xml:space="preserve">IPB University, Bogor, West Java, Indonesia. </w:t>
      </w:r>
    </w:p>
    <w:p w14:paraId="0AA0AF48" w14:textId="77777777" w:rsidR="00137F8E" w:rsidRPr="005A4C7D" w:rsidRDefault="00137F8E" w:rsidP="00137F8E">
      <w:pPr>
        <w:jc w:val="center"/>
        <w:rPr>
          <w:rFonts w:eastAsia="Arial"/>
          <w:i/>
          <w:sz w:val="20"/>
        </w:rPr>
      </w:pPr>
      <w:r w:rsidRPr="005A4C7D">
        <w:rPr>
          <w:rFonts w:eastAsia="Arial"/>
          <w:i/>
          <w:sz w:val="20"/>
        </w:rPr>
        <w:t>* E-mail: aingratubun@gmail.com; ingratubun_ma@apps.ipb.ac.id</w:t>
      </w:r>
    </w:p>
    <w:p w14:paraId="517108FD" w14:textId="7949DB0A" w:rsidR="00137F8E" w:rsidRPr="005A4C7D" w:rsidRDefault="00137F8E" w:rsidP="00137F8E">
      <w:pPr>
        <w:jc w:val="center"/>
        <w:rPr>
          <w:rFonts w:eastAsia="Arial"/>
          <w:i/>
          <w:sz w:val="20"/>
        </w:rPr>
      </w:pPr>
      <w:r w:rsidRPr="005A4C7D">
        <w:rPr>
          <w:rFonts w:eastAsia="Arial"/>
          <w:i/>
          <w:sz w:val="20"/>
          <w:vertAlign w:val="superscript"/>
        </w:rPr>
        <w:t>1</w:t>
      </w:r>
      <w:r w:rsidR="00106913">
        <w:rPr>
          <w:rFonts w:eastAsia="Arial"/>
          <w:i/>
          <w:sz w:val="20"/>
          <w:vertAlign w:val="superscript"/>
        </w:rPr>
        <w:t>...</w:t>
      </w:r>
      <w:r w:rsidRPr="005A4C7D">
        <w:rPr>
          <w:rFonts w:eastAsia="Arial"/>
          <w:i/>
          <w:sz w:val="20"/>
        </w:rPr>
        <w:t>Co-authors are TBA</w:t>
      </w:r>
    </w:p>
    <w:p w14:paraId="7872B5B6" w14:textId="77777777" w:rsidR="00137F8E" w:rsidRPr="005A4C7D" w:rsidRDefault="00137F8E" w:rsidP="00137F8E">
      <w:pPr>
        <w:rPr>
          <w:rFonts w:eastAsia="Arial"/>
        </w:rPr>
      </w:pPr>
    </w:p>
    <w:p w14:paraId="63B20538" w14:textId="77777777" w:rsidR="00137F8E" w:rsidRPr="005A4C7D" w:rsidRDefault="00137F8E" w:rsidP="00137F8E">
      <w:pPr>
        <w:spacing w:before="120" w:after="120" w:line="360" w:lineRule="auto"/>
        <w:rPr>
          <w:rFonts w:eastAsia="Arial"/>
          <w:b/>
          <w:sz w:val="28"/>
          <w:szCs w:val="28"/>
        </w:rPr>
      </w:pPr>
      <w:r w:rsidRPr="005A4C7D">
        <w:rPr>
          <w:rFonts w:eastAsia="Arial"/>
          <w:b/>
          <w:sz w:val="28"/>
          <w:szCs w:val="28"/>
        </w:rPr>
        <w:t>ABSTRACT</w:t>
      </w:r>
    </w:p>
    <w:p w14:paraId="3F7F2A28" w14:textId="0DF4CE0A" w:rsidR="00137F8E" w:rsidRPr="005A4C7D" w:rsidRDefault="00137F8E" w:rsidP="00137F8E">
      <w:pPr>
        <w:pBdr>
          <w:top w:val="nil"/>
          <w:left w:val="nil"/>
          <w:bottom w:val="nil"/>
          <w:right w:val="nil"/>
          <w:between w:val="nil"/>
        </w:pBdr>
        <w:spacing w:after="120"/>
        <w:jc w:val="both"/>
        <w:rPr>
          <w:rFonts w:eastAsia="Arial"/>
          <w:sz w:val="22"/>
          <w:szCs w:val="22"/>
        </w:rPr>
      </w:pPr>
      <w:r w:rsidRPr="005A4C7D">
        <w:rPr>
          <w:rFonts w:eastAsia="Arial"/>
          <w:sz w:val="22"/>
          <w:szCs w:val="22"/>
        </w:rPr>
        <w:t xml:space="preserve">ADB takes over 5-year to disburse the loan funds after </w:t>
      </w:r>
      <w:r w:rsidRPr="005A4C7D">
        <w:rPr>
          <w:rFonts w:eastAsia="Arial"/>
          <w:sz w:val="22"/>
          <w:szCs w:val="22"/>
          <w:lang w:val="en-US"/>
        </w:rPr>
        <w:t>the borrower</w:t>
      </w:r>
      <w:r w:rsidRPr="005A4C7D">
        <w:rPr>
          <w:rFonts w:eastAsia="Arial"/>
          <w:sz w:val="22"/>
          <w:szCs w:val="22"/>
        </w:rPr>
        <w:t xml:space="preserve"> sign</w:t>
      </w:r>
      <w:r w:rsidRPr="005A4C7D">
        <w:rPr>
          <w:rFonts w:eastAsia="Arial"/>
          <w:sz w:val="22"/>
          <w:szCs w:val="22"/>
          <w:lang w:val="en-US"/>
        </w:rPr>
        <w:t>s</w:t>
      </w:r>
      <w:r w:rsidRPr="005A4C7D">
        <w:rPr>
          <w:rFonts w:eastAsia="Arial"/>
          <w:sz w:val="22"/>
          <w:szCs w:val="22"/>
        </w:rPr>
        <w:t xml:space="preserve"> the loan agreements, because of conditionalities compared with one day by commercial banks</w:t>
      </w:r>
      <w:r w:rsidR="0081742D">
        <w:rPr>
          <w:rFonts w:eastAsia="Arial"/>
          <w:sz w:val="22"/>
          <w:szCs w:val="22"/>
        </w:rPr>
        <w:t xml:space="preserve">. </w:t>
      </w:r>
      <w:r w:rsidRPr="005A4C7D">
        <w:rPr>
          <w:rFonts w:eastAsia="Arial"/>
          <w:sz w:val="22"/>
          <w:szCs w:val="22"/>
        </w:rPr>
        <w:t>During which, the funds stay in the banks and gain compounded interest, disfavoring Indonesia.</w:t>
      </w:r>
      <w:r w:rsidR="0081742D">
        <w:rPr>
          <w:rFonts w:eastAsia="Arial"/>
          <w:sz w:val="22"/>
          <w:szCs w:val="22"/>
          <w:lang w:val="en-US"/>
        </w:rPr>
        <w:t xml:space="preserve"> </w:t>
      </w:r>
      <w:r w:rsidR="00B5685E" w:rsidRPr="005A4C7D">
        <w:rPr>
          <w:rFonts w:eastAsia="Arial"/>
          <w:sz w:val="22"/>
          <w:szCs w:val="22"/>
          <w:lang w:val="en-US"/>
        </w:rPr>
        <w:t>Development studies have mostly overlooked t</w:t>
      </w:r>
      <w:r w:rsidRPr="005A4C7D">
        <w:rPr>
          <w:rFonts w:eastAsia="Arial"/>
          <w:sz w:val="22"/>
          <w:szCs w:val="22"/>
        </w:rPr>
        <w:t>hese gains and their impacts.</w:t>
      </w:r>
      <w:r w:rsidR="0081742D">
        <w:rPr>
          <w:rFonts w:eastAsia="Arial"/>
          <w:sz w:val="22"/>
          <w:szCs w:val="22"/>
          <w:lang w:val="en-US"/>
        </w:rPr>
        <w:t xml:space="preserve"> </w:t>
      </w:r>
      <w:r w:rsidR="00B5685E" w:rsidRPr="005A4C7D">
        <w:rPr>
          <w:rFonts w:eastAsia="Arial"/>
          <w:sz w:val="22"/>
          <w:szCs w:val="22"/>
          <w:lang w:val="en-US"/>
        </w:rPr>
        <w:t xml:space="preserve">Knowing that </w:t>
      </w:r>
      <w:r w:rsidRPr="005A4C7D">
        <w:rPr>
          <w:rFonts w:eastAsia="Arial"/>
          <w:sz w:val="22"/>
          <w:szCs w:val="22"/>
        </w:rPr>
        <w:t>ADB loans attribute about 3% of Indonesia’s unemployment</w:t>
      </w:r>
      <w:r w:rsidR="00B5685E" w:rsidRPr="005A4C7D">
        <w:rPr>
          <w:rFonts w:eastAsia="Arial"/>
          <w:sz w:val="22"/>
          <w:szCs w:val="22"/>
          <w:lang w:val="en-US"/>
        </w:rPr>
        <w:t>,</w:t>
      </w:r>
      <w:r w:rsidRPr="005A4C7D">
        <w:rPr>
          <w:rFonts w:eastAsia="Arial"/>
          <w:sz w:val="22"/>
          <w:szCs w:val="22"/>
        </w:rPr>
        <w:t xml:space="preserve"> we reviewed the delays impacts during project implementation on unemployment involving 325 ADB loan projects over $33 billion from 1969 to 2017</w:t>
      </w:r>
      <w:r w:rsidR="0081742D">
        <w:rPr>
          <w:rFonts w:eastAsia="Arial"/>
          <w:sz w:val="22"/>
          <w:szCs w:val="22"/>
        </w:rPr>
        <w:t xml:space="preserve">. </w:t>
      </w:r>
      <w:r w:rsidRPr="005A4C7D">
        <w:rPr>
          <w:rFonts w:eastAsia="Arial"/>
          <w:sz w:val="22"/>
          <w:szCs w:val="22"/>
          <w:lang w:val="en-US"/>
        </w:rPr>
        <w:t>We use a</w:t>
      </w:r>
      <w:r w:rsidRPr="005A4C7D">
        <w:rPr>
          <w:rFonts w:eastAsia="Arial"/>
          <w:sz w:val="22"/>
          <w:szCs w:val="22"/>
        </w:rPr>
        <w:t xml:space="preserve"> non-econometric methodology adopting project and portfolio management principles. The results show the ADB loans initially helped Indonesia reduce unemployment by 30% but at 1</w:t>
      </w:r>
      <w:r w:rsidR="0081742D">
        <w:rPr>
          <w:rFonts w:eastAsia="Arial"/>
          <w:sz w:val="22"/>
          <w:szCs w:val="22"/>
        </w:rPr>
        <w:t xml:space="preserve">% </w:t>
      </w:r>
      <w:r w:rsidR="00380FC0">
        <w:rPr>
          <w:rFonts w:eastAsia="Arial"/>
          <w:sz w:val="22"/>
          <w:szCs w:val="22"/>
        </w:rPr>
        <w:t>GDP</w:t>
      </w:r>
      <w:r w:rsidRPr="005A4C7D">
        <w:rPr>
          <w:rFonts w:eastAsia="Arial"/>
          <w:sz w:val="22"/>
          <w:szCs w:val="22"/>
        </w:rPr>
        <w:t xml:space="preserve"> increasing </w:t>
      </w:r>
      <w:r w:rsidR="00E97817">
        <w:rPr>
          <w:rFonts w:eastAsia="Arial"/>
          <w:sz w:val="22"/>
          <w:szCs w:val="22"/>
          <w:lang w:val="en-US"/>
        </w:rPr>
        <w:t>it</w:t>
      </w:r>
      <w:r w:rsidR="0081742D">
        <w:rPr>
          <w:rFonts w:eastAsia="Arial"/>
          <w:sz w:val="22"/>
          <w:szCs w:val="22"/>
        </w:rPr>
        <w:t xml:space="preserve">. </w:t>
      </w:r>
      <w:r w:rsidRPr="005A4C7D">
        <w:rPr>
          <w:rFonts w:eastAsia="Arial"/>
          <w:sz w:val="22"/>
          <w:szCs w:val="22"/>
        </w:rPr>
        <w:t xml:space="preserve">However, because of the ADB standard implementation of 5-year and with 2-year delays (7-year) </w:t>
      </w:r>
      <w:r w:rsidR="00B5685E" w:rsidRPr="005A4C7D">
        <w:rPr>
          <w:rFonts w:eastAsia="Arial"/>
          <w:sz w:val="22"/>
          <w:szCs w:val="22"/>
          <w:lang w:val="en-US"/>
        </w:rPr>
        <w:t xml:space="preserve">we observed shorter </w:t>
      </w:r>
      <w:r w:rsidRPr="005A4C7D">
        <w:rPr>
          <w:rFonts w:eastAsia="Arial"/>
          <w:sz w:val="22"/>
          <w:szCs w:val="22"/>
        </w:rPr>
        <w:t xml:space="preserve">reductions by half </w:t>
      </w:r>
      <w:r w:rsidR="00B5685E" w:rsidRPr="005A4C7D">
        <w:rPr>
          <w:rFonts w:eastAsia="Arial"/>
          <w:sz w:val="22"/>
          <w:szCs w:val="22"/>
          <w:lang w:val="en-US"/>
        </w:rPr>
        <w:t>but</w:t>
      </w:r>
      <w:r w:rsidRPr="005A4C7D">
        <w:rPr>
          <w:rFonts w:eastAsia="Arial"/>
          <w:sz w:val="22"/>
          <w:szCs w:val="22"/>
        </w:rPr>
        <w:t xml:space="preserve"> then reversed</w:t>
      </w:r>
      <w:r w:rsidR="00B5685E" w:rsidRPr="005A4C7D">
        <w:rPr>
          <w:rFonts w:eastAsia="Arial"/>
          <w:sz w:val="22"/>
          <w:szCs w:val="22"/>
          <w:lang w:val="en-US"/>
        </w:rPr>
        <w:t xml:space="preserve"> and</w:t>
      </w:r>
      <w:r w:rsidRPr="005A4C7D">
        <w:rPr>
          <w:rFonts w:eastAsia="Arial"/>
          <w:sz w:val="22"/>
          <w:szCs w:val="22"/>
        </w:rPr>
        <w:t xml:space="preserve"> tripling unemployment. Indonesia suffers a capital loss of $0.6-$12 per $1 loan or equivalent </w:t>
      </w:r>
      <w:r w:rsidR="00B5685E" w:rsidRPr="005A4C7D">
        <w:rPr>
          <w:rFonts w:eastAsia="Arial"/>
          <w:sz w:val="22"/>
          <w:szCs w:val="22"/>
        </w:rPr>
        <w:t>to</w:t>
      </w:r>
      <w:r w:rsidRPr="005A4C7D">
        <w:rPr>
          <w:rFonts w:eastAsia="Arial"/>
          <w:sz w:val="22"/>
          <w:szCs w:val="22"/>
        </w:rPr>
        <w:t xml:space="preserve"> 4.98</w:t>
      </w:r>
      <w:r w:rsidR="0081742D">
        <w:rPr>
          <w:rFonts w:eastAsia="Arial"/>
          <w:sz w:val="22"/>
          <w:szCs w:val="22"/>
        </w:rPr>
        <w:t>%-GDP</w:t>
      </w:r>
      <w:r w:rsidRPr="005A4C7D">
        <w:rPr>
          <w:rFonts w:eastAsia="Arial"/>
          <w:sz w:val="22"/>
          <w:szCs w:val="22"/>
        </w:rPr>
        <w:t xml:space="preserve"> because of disbursement delays</w:t>
      </w:r>
      <w:r w:rsidR="0081742D">
        <w:rPr>
          <w:rFonts w:eastAsia="Arial"/>
          <w:sz w:val="22"/>
          <w:szCs w:val="22"/>
        </w:rPr>
        <w:t xml:space="preserve">. </w:t>
      </w:r>
      <w:r w:rsidRPr="005A4C7D">
        <w:rPr>
          <w:rFonts w:eastAsia="Arial"/>
          <w:sz w:val="22"/>
          <w:szCs w:val="22"/>
        </w:rPr>
        <w:t xml:space="preserve">ADB loans have severe negative effects, with over 200% volatility </w:t>
      </w:r>
      <w:r w:rsidRPr="005A4C7D">
        <w:rPr>
          <w:rFonts w:eastAsia="Arial"/>
          <w:sz w:val="22"/>
          <w:szCs w:val="22"/>
          <w:lang w:val="en-US"/>
        </w:rPr>
        <w:t>because</w:t>
      </w:r>
      <w:r w:rsidRPr="005A4C7D">
        <w:rPr>
          <w:rFonts w:eastAsia="Arial"/>
          <w:sz w:val="22"/>
          <w:szCs w:val="22"/>
        </w:rPr>
        <w:t xml:space="preserve"> of delays</w:t>
      </w:r>
      <w:r w:rsidR="0081742D">
        <w:rPr>
          <w:rFonts w:eastAsia="Arial"/>
          <w:sz w:val="22"/>
          <w:szCs w:val="22"/>
        </w:rPr>
        <w:t xml:space="preserve">. </w:t>
      </w:r>
      <w:r w:rsidRPr="005A4C7D">
        <w:rPr>
          <w:rFonts w:eastAsia="Arial"/>
          <w:sz w:val="22"/>
          <w:szCs w:val="22"/>
        </w:rPr>
        <w:t>Fixing this is simple but requires a paradigm shift.</w:t>
      </w:r>
    </w:p>
    <w:p w14:paraId="0C812131" w14:textId="77777777" w:rsidR="00137F8E" w:rsidRPr="005A4C7D" w:rsidRDefault="00137F8E" w:rsidP="00137F8E">
      <w:pPr>
        <w:jc w:val="both"/>
        <w:rPr>
          <w:rFonts w:eastAsia="Arial"/>
          <w:sz w:val="22"/>
          <w:szCs w:val="22"/>
        </w:rPr>
      </w:pPr>
    </w:p>
    <w:p w14:paraId="50E3146A" w14:textId="77777777" w:rsidR="00137F8E" w:rsidRPr="005A4C7D" w:rsidRDefault="00137F8E" w:rsidP="00137F8E">
      <w:pPr>
        <w:pBdr>
          <w:top w:val="nil"/>
          <w:left w:val="nil"/>
          <w:bottom w:val="nil"/>
          <w:right w:val="nil"/>
          <w:between w:val="nil"/>
        </w:pBdr>
        <w:ind w:left="1134" w:hanging="1134"/>
        <w:jc w:val="both"/>
        <w:rPr>
          <w:rFonts w:eastAsia="Arial"/>
          <w:sz w:val="22"/>
          <w:szCs w:val="22"/>
        </w:rPr>
      </w:pPr>
      <w:r w:rsidRPr="005A4C7D">
        <w:rPr>
          <w:rFonts w:eastAsia="Arial"/>
          <w:sz w:val="22"/>
          <w:szCs w:val="22"/>
        </w:rPr>
        <w:t xml:space="preserve">Keywords: Disbursement delays, unemployment, money creation, negative impact, volatility </w:t>
      </w:r>
    </w:p>
    <w:p w14:paraId="32930884" w14:textId="77777777" w:rsidR="00137F8E" w:rsidRPr="005A4C7D" w:rsidRDefault="00137F8E" w:rsidP="00137F8E">
      <w:pPr>
        <w:pBdr>
          <w:top w:val="nil"/>
          <w:left w:val="nil"/>
          <w:bottom w:val="nil"/>
          <w:right w:val="nil"/>
          <w:between w:val="nil"/>
        </w:pBdr>
        <w:ind w:left="567" w:hanging="567"/>
        <w:jc w:val="both"/>
        <w:rPr>
          <w:rFonts w:eastAsia="Arial"/>
          <w:sz w:val="22"/>
          <w:szCs w:val="22"/>
        </w:rPr>
      </w:pPr>
    </w:p>
    <w:p w14:paraId="4DBA79E8" w14:textId="77777777" w:rsidR="00137F8E" w:rsidRPr="005A4C7D" w:rsidRDefault="00137F8E" w:rsidP="00137F8E">
      <w:pPr>
        <w:pBdr>
          <w:top w:val="nil"/>
          <w:left w:val="nil"/>
          <w:bottom w:val="nil"/>
          <w:right w:val="nil"/>
          <w:between w:val="nil"/>
        </w:pBdr>
        <w:ind w:left="567" w:hanging="567"/>
        <w:jc w:val="both"/>
        <w:rPr>
          <w:rFonts w:eastAsia="Arial"/>
          <w:sz w:val="22"/>
          <w:szCs w:val="22"/>
        </w:rPr>
      </w:pPr>
      <w:r w:rsidRPr="005A4C7D">
        <w:rPr>
          <w:rFonts w:eastAsia="Arial"/>
          <w:sz w:val="22"/>
          <w:szCs w:val="22"/>
        </w:rPr>
        <w:t>JEL Classification: C6, E5, F34</w:t>
      </w:r>
    </w:p>
    <w:p w14:paraId="05E39DD7" w14:textId="77777777" w:rsidR="00137F8E" w:rsidRPr="005A4C7D" w:rsidRDefault="00137F8E" w:rsidP="00137F8E">
      <w:pPr>
        <w:spacing w:after="160" w:line="259" w:lineRule="auto"/>
        <w:rPr>
          <w:rFonts w:eastAsia="Arial"/>
          <w:sz w:val="22"/>
          <w:szCs w:val="22"/>
        </w:rPr>
      </w:pPr>
      <w:r w:rsidRPr="005A4C7D">
        <w:br w:type="page"/>
      </w:r>
    </w:p>
    <w:p w14:paraId="082AEB72" w14:textId="77777777" w:rsidR="00137F8E" w:rsidRPr="005A4C7D" w:rsidRDefault="00137F8E" w:rsidP="00137F8E">
      <w:pPr>
        <w:spacing w:before="120" w:after="120" w:line="360" w:lineRule="auto"/>
        <w:rPr>
          <w:rFonts w:eastAsia="Arial"/>
          <w:b/>
          <w:sz w:val="28"/>
          <w:szCs w:val="28"/>
        </w:rPr>
      </w:pPr>
      <w:r w:rsidRPr="005A4C7D">
        <w:rPr>
          <w:rFonts w:eastAsia="Arial"/>
          <w:b/>
          <w:sz w:val="28"/>
          <w:szCs w:val="28"/>
        </w:rPr>
        <w:lastRenderedPageBreak/>
        <w:t>INTRODUCTION</w:t>
      </w:r>
    </w:p>
    <w:p w14:paraId="71971993" w14:textId="067C8760" w:rsidR="00137F8E" w:rsidRPr="005A4C7D" w:rsidRDefault="00137F8E" w:rsidP="00137F8E">
      <w:pPr>
        <w:spacing w:line="360" w:lineRule="auto"/>
        <w:jc w:val="both"/>
        <w:rPr>
          <w:rFonts w:eastAsia="Arial"/>
        </w:rPr>
      </w:pPr>
      <w:r w:rsidRPr="005A4C7D">
        <w:rPr>
          <w:rFonts w:eastAsia="Arial"/>
        </w:rPr>
        <w:t xml:space="preserve">Indonesia was under the control of a Dutch multinational corporation of the Dutch East India Company or </w:t>
      </w:r>
      <w:r w:rsidRPr="005A4C7D">
        <w:rPr>
          <w:rFonts w:eastAsia="Arial"/>
          <w:i/>
        </w:rPr>
        <w:t>Vereenigde Oostindische Compagnie</w:t>
      </w:r>
      <w:r w:rsidRPr="005A4C7D">
        <w:rPr>
          <w:rFonts w:eastAsia="Arial"/>
        </w:rPr>
        <w:t xml:space="preserve"> (VOC) </w:t>
      </w:r>
      <w:r w:rsidRPr="005A4C7D">
        <w:rPr>
          <w:rFonts w:eastAsia="Arial"/>
          <w:highlight w:val="white"/>
        </w:rPr>
        <w:t>from the early 17</w:t>
      </w:r>
      <w:r w:rsidRPr="005A4C7D">
        <w:rPr>
          <w:rFonts w:eastAsia="Arial"/>
          <w:highlight w:val="white"/>
          <w:vertAlign w:val="superscript"/>
        </w:rPr>
        <w:t>th</w:t>
      </w:r>
      <w:r w:rsidRPr="005A4C7D">
        <w:rPr>
          <w:rFonts w:eastAsia="Arial"/>
          <w:highlight w:val="white"/>
        </w:rPr>
        <w:t xml:space="preserve"> into 20</w:t>
      </w:r>
      <w:r w:rsidRPr="005A4C7D">
        <w:rPr>
          <w:rFonts w:eastAsia="Arial"/>
          <w:highlight w:val="white"/>
          <w:vertAlign w:val="superscript"/>
        </w:rPr>
        <w:t>th</w:t>
      </w:r>
      <w:r w:rsidRPr="005A4C7D">
        <w:rPr>
          <w:rFonts w:eastAsia="Arial"/>
          <w:highlight w:val="white"/>
        </w:rPr>
        <w:t xml:space="preserve"> century</w:t>
      </w:r>
      <w:r w:rsidR="0081742D">
        <w:rPr>
          <w:rFonts w:eastAsia="Arial"/>
          <w:highlight w:val="white"/>
        </w:rPr>
        <w:t xml:space="preserve">. </w:t>
      </w:r>
      <w:r w:rsidR="008B1A11" w:rsidRPr="005A4C7D">
        <w:rPr>
          <w:rFonts w:eastAsia="Arial"/>
          <w:highlight w:val="white"/>
        </w:rPr>
        <w:t>The</w:t>
      </w:r>
      <w:r w:rsidR="008B1A11" w:rsidRPr="005A4C7D">
        <w:rPr>
          <w:rFonts w:eastAsia="Arial"/>
          <w:highlight w:val="white"/>
          <w:lang w:val="en-US"/>
        </w:rPr>
        <w:t xml:space="preserve"> Dutch government</w:t>
      </w:r>
      <w:r w:rsidR="008B1A11" w:rsidRPr="005A4C7D">
        <w:rPr>
          <w:rFonts w:eastAsia="Arial"/>
          <w:highlight w:val="white"/>
        </w:rPr>
        <w:t xml:space="preserve"> nationalized it</w:t>
      </w:r>
      <w:r w:rsidRPr="005A4C7D">
        <w:rPr>
          <w:rFonts w:eastAsia="Arial"/>
          <w:highlight w:val="white"/>
        </w:rPr>
        <w:t xml:space="preserve"> into a state asset because of bankruptcy. </w:t>
      </w:r>
      <w:r w:rsidR="008B1A11" w:rsidRPr="005A4C7D">
        <w:rPr>
          <w:rFonts w:eastAsia="Arial"/>
          <w:highlight w:val="white"/>
          <w:lang w:val="en-US"/>
        </w:rPr>
        <w:t>VOC</w:t>
      </w:r>
      <w:r w:rsidRPr="005A4C7D">
        <w:rPr>
          <w:rFonts w:eastAsia="Arial"/>
          <w:highlight w:val="white"/>
        </w:rPr>
        <w:t xml:space="preserve"> nurtured the spread of—among other—disease, slavery, bureaucracy, globalization, destruction, and exploitation on an unfathomable scale (Shorto, 2013), modern banking, and planted the seed of multilateral cooperations bank to develop colonized lands</w:t>
      </w:r>
      <w:r w:rsidR="0081742D">
        <w:rPr>
          <w:rFonts w:eastAsia="Arial"/>
          <w:highlight w:val="white"/>
        </w:rPr>
        <w:t xml:space="preserve">. </w:t>
      </w:r>
      <w:r w:rsidRPr="005A4C7D">
        <w:rPr>
          <w:rFonts w:eastAsia="Arial"/>
        </w:rPr>
        <w:t xml:space="preserve">During this period, </w:t>
      </w:r>
      <w:r w:rsidR="008B1A11" w:rsidRPr="005A4C7D">
        <w:rPr>
          <w:rFonts w:eastAsia="Arial"/>
          <w:lang w:val="en-US"/>
        </w:rPr>
        <w:t xml:space="preserve">the Dutch generated </w:t>
      </w:r>
      <w:r w:rsidRPr="005A4C7D">
        <w:rPr>
          <w:rFonts w:eastAsia="Arial"/>
        </w:rPr>
        <w:t>billions of dollars of capital</w:t>
      </w:r>
      <w:r w:rsidRPr="005A4C7D">
        <w:rPr>
          <w:rFonts w:eastAsia="Arial"/>
          <w:lang w:val="en-US"/>
        </w:rPr>
        <w:t xml:space="preserve"> </w:t>
      </w:r>
      <w:r w:rsidRPr="005A4C7D">
        <w:rPr>
          <w:rFonts w:eastAsia="Arial"/>
        </w:rPr>
        <w:t>from Indonesia in various forms, including slave trading</w:t>
      </w:r>
      <w:r w:rsidRPr="005A4C7D">
        <w:rPr>
          <w:rFonts w:eastAsia="Arial"/>
          <w:lang w:val="en-US"/>
        </w:rPr>
        <w:t xml:space="preserve">, </w:t>
      </w:r>
      <w:r w:rsidRPr="005A4C7D">
        <w:rPr>
          <w:rFonts w:eastAsia="Arial"/>
        </w:rPr>
        <w:t>and exported to the Netherlands</w:t>
      </w:r>
      <w:r w:rsidR="0081742D">
        <w:rPr>
          <w:rFonts w:eastAsia="Arial"/>
        </w:rPr>
        <w:t xml:space="preserve">. </w:t>
      </w:r>
      <w:r w:rsidRPr="005A4C7D">
        <w:rPr>
          <w:rFonts w:eastAsia="Arial"/>
        </w:rPr>
        <w:t xml:space="preserve"> </w:t>
      </w:r>
    </w:p>
    <w:p w14:paraId="4CBD2033" w14:textId="77777777" w:rsidR="00137F8E" w:rsidRPr="005A4C7D" w:rsidRDefault="00137F8E" w:rsidP="00137F8E">
      <w:pPr>
        <w:spacing w:line="360" w:lineRule="auto"/>
        <w:jc w:val="both"/>
        <w:rPr>
          <w:rFonts w:eastAsia="Arial"/>
        </w:rPr>
      </w:pPr>
    </w:p>
    <w:p w14:paraId="0E8931DA" w14:textId="39391048" w:rsidR="00137F8E" w:rsidRPr="005A4C7D" w:rsidRDefault="00137F8E" w:rsidP="00137F8E">
      <w:pPr>
        <w:spacing w:line="360" w:lineRule="auto"/>
        <w:jc w:val="both"/>
        <w:rPr>
          <w:rFonts w:eastAsia="Arial"/>
        </w:rPr>
      </w:pPr>
      <w:r w:rsidRPr="005A4C7D">
        <w:rPr>
          <w:rFonts w:eastAsia="Arial"/>
        </w:rPr>
        <w:t xml:space="preserve">Dutch disease, often associated with the natural resource curse, describes the causal relationship between economic development growth in one sector and a reduction in another. The putative theory is that as national revenues increase, including those </w:t>
      </w:r>
      <w:r w:rsidR="008B1A11" w:rsidRPr="005A4C7D">
        <w:rPr>
          <w:rFonts w:eastAsia="Arial"/>
          <w:lang w:val="en-US"/>
        </w:rPr>
        <w:t xml:space="preserve">gotten </w:t>
      </w:r>
      <w:r w:rsidRPr="005A4C7D">
        <w:rPr>
          <w:rFonts w:eastAsia="Arial"/>
        </w:rPr>
        <w:t>from debt capital, foreign aid inflows induce the strengthening of the national currency gauged from the stability of the exchange rate (Ebrahim-Zadeh, 2003)</w:t>
      </w:r>
      <w:r w:rsidR="0081742D">
        <w:rPr>
          <w:rFonts w:eastAsia="Arial"/>
        </w:rPr>
        <w:t xml:space="preserve">. </w:t>
      </w:r>
      <w:r w:rsidRPr="005A4C7D">
        <w:rPr>
          <w:rFonts w:eastAsia="Arial"/>
        </w:rPr>
        <w:t xml:space="preserve">The theorized impacts would be, among others, increased growth, job creation, revenues, and poverty reduction. </w:t>
      </w:r>
    </w:p>
    <w:p w14:paraId="404A2C32" w14:textId="77777777" w:rsidR="00137F8E" w:rsidRPr="005A4C7D" w:rsidRDefault="00137F8E" w:rsidP="00137F8E">
      <w:pPr>
        <w:spacing w:line="360" w:lineRule="auto"/>
        <w:jc w:val="both"/>
        <w:rPr>
          <w:rFonts w:eastAsia="Arial"/>
          <w:color w:val="202122"/>
          <w:sz w:val="20"/>
          <w:highlight w:val="white"/>
        </w:rPr>
      </w:pPr>
    </w:p>
    <w:p w14:paraId="788E563F" w14:textId="6F9518B1" w:rsidR="00137F8E" w:rsidRPr="005A4C7D" w:rsidRDefault="00137F8E" w:rsidP="00137F8E">
      <w:pPr>
        <w:spacing w:line="360" w:lineRule="auto"/>
        <w:jc w:val="both"/>
        <w:rPr>
          <w:rFonts w:eastAsia="Arial"/>
        </w:rPr>
      </w:pPr>
      <w:r w:rsidRPr="005A4C7D">
        <w:rPr>
          <w:rFonts w:eastAsia="Arial"/>
        </w:rPr>
        <w:t>Contrary to the</w:t>
      </w:r>
      <w:r w:rsidR="00E51683">
        <w:rPr>
          <w:rFonts w:eastAsia="Arial"/>
          <w:lang w:val="en-US"/>
        </w:rPr>
        <w:t xml:space="preserve"> description of</w:t>
      </w:r>
      <w:r w:rsidRPr="005A4C7D">
        <w:rPr>
          <w:rFonts w:eastAsia="Arial"/>
        </w:rPr>
        <w:t xml:space="preserve"> Dutch disease, particularly with capital inflows and the creation of employment, Indonesia suffers from capital outflows, not only during Dutch colonialization but also from borrowing from the ADB (Fauzi and Ingratubun, 2020)</w:t>
      </w:r>
      <w:r w:rsidR="0081742D">
        <w:rPr>
          <w:rFonts w:eastAsia="Arial"/>
        </w:rPr>
        <w:t xml:space="preserve">. </w:t>
      </w:r>
      <w:r w:rsidRPr="005A4C7D">
        <w:rPr>
          <w:rFonts w:eastAsia="Arial"/>
        </w:rPr>
        <w:t xml:space="preserve">This is because of its infamous disbursement delays that could take on average 7-years before </w:t>
      </w:r>
      <w:r w:rsidRPr="005A4C7D">
        <w:rPr>
          <w:rFonts w:eastAsia="Arial"/>
          <w:lang w:val="en-US"/>
        </w:rPr>
        <w:t xml:space="preserve">disbursing </w:t>
      </w:r>
      <w:r w:rsidRPr="005A4C7D">
        <w:rPr>
          <w:rFonts w:eastAsia="Arial"/>
        </w:rPr>
        <w:t xml:space="preserve">the debt funds into </w:t>
      </w:r>
      <w:r w:rsidR="00E51683">
        <w:rPr>
          <w:rFonts w:eastAsia="Arial"/>
          <w:lang w:val="en-US"/>
        </w:rPr>
        <w:t xml:space="preserve">the </w:t>
      </w:r>
      <w:r w:rsidRPr="005A4C7D">
        <w:rPr>
          <w:rFonts w:eastAsia="Arial"/>
        </w:rPr>
        <w:t>economy</w:t>
      </w:r>
      <w:r w:rsidR="00E51683">
        <w:rPr>
          <w:rFonts w:eastAsia="Arial"/>
          <w:lang w:val="en-US"/>
        </w:rPr>
        <w:t xml:space="preserve"> of Indonesia</w:t>
      </w:r>
      <w:r w:rsidRPr="005A4C7D">
        <w:rPr>
          <w:rFonts w:eastAsia="Arial"/>
        </w:rPr>
        <w:t>, which in most cases are not 100%</w:t>
      </w:r>
      <w:r w:rsidR="0081742D">
        <w:rPr>
          <w:rFonts w:eastAsia="Arial"/>
        </w:rPr>
        <w:t xml:space="preserve">. </w:t>
      </w:r>
      <w:r w:rsidRPr="005A4C7D">
        <w:rPr>
          <w:rFonts w:eastAsia="Arial"/>
        </w:rPr>
        <w:t>A study by the OECD</w:t>
      </w:r>
      <w:r w:rsidRPr="005A4C7D">
        <w:rPr>
          <w:rFonts w:eastAsia="Arial"/>
          <w:vertAlign w:val="superscript"/>
        </w:rPr>
        <w:footnoteReference w:id="1"/>
      </w:r>
      <w:r w:rsidRPr="005A4C7D">
        <w:rPr>
          <w:rFonts w:eastAsia="Arial"/>
        </w:rPr>
        <w:t xml:space="preserve"> (2003) discovered that disbursement delays are one of the five most burdensome donor practices that may cause aid ineffectiveness. Pallage and Robe (2001:10) found that many studies classified disbursement delay (lead and lag) as a minor issue</w:t>
      </w:r>
      <w:r w:rsidR="0081742D">
        <w:rPr>
          <w:rFonts w:eastAsia="Arial"/>
          <w:lang w:val="en-US"/>
        </w:rPr>
        <w:t xml:space="preserve">. </w:t>
      </w:r>
      <w:r w:rsidR="003D27A5">
        <w:rPr>
          <w:rFonts w:eastAsia="Arial"/>
          <w:lang w:val="en-US"/>
        </w:rPr>
        <w:t xml:space="preserve">However, </w:t>
      </w:r>
      <w:r w:rsidRPr="005A4C7D">
        <w:rPr>
          <w:rFonts w:eastAsia="Arial"/>
        </w:rPr>
        <w:t xml:space="preserve">Diarra (2011: 7) has empirically identified that the </w:t>
      </w:r>
      <w:r w:rsidR="009B0554">
        <w:rPr>
          <w:rFonts w:eastAsia="Arial"/>
          <w:i/>
          <w:color w:val="0000CC"/>
          <w:lang w:val="en-US"/>
        </w:rPr>
        <w:t>“dis</w:t>
      </w:r>
      <w:r w:rsidRPr="005A4C7D">
        <w:rPr>
          <w:rFonts w:eastAsia="Arial"/>
          <w:i/>
          <w:color w:val="0000CC"/>
        </w:rPr>
        <w:t>bursement delays approach</w:t>
      </w:r>
      <w:r w:rsidR="009B0554">
        <w:rPr>
          <w:rFonts w:eastAsia="Arial"/>
          <w:i/>
          <w:color w:val="0000CC"/>
          <w:lang w:val="en-US"/>
        </w:rPr>
        <w:t>”</w:t>
      </w:r>
      <w:r w:rsidRPr="005A4C7D">
        <w:rPr>
          <w:rFonts w:eastAsia="Arial"/>
        </w:rPr>
        <w:t xml:space="preserve"> by donors is one of the </w:t>
      </w:r>
      <w:r w:rsidR="00106913">
        <w:rPr>
          <w:rFonts w:eastAsia="Arial"/>
        </w:rPr>
        <w:t>principal causes</w:t>
      </w:r>
      <w:r w:rsidRPr="005A4C7D">
        <w:rPr>
          <w:rFonts w:eastAsia="Arial"/>
        </w:rPr>
        <w:t xml:space="preserve"> of aid volatility. Sogge (2017:36, citing Doucouliagos and Paldam (2015:325)) shows that </w:t>
      </w:r>
      <w:r w:rsidR="008B1A11" w:rsidRPr="005A4C7D">
        <w:rPr>
          <w:rFonts w:eastAsia="Arial"/>
        </w:rPr>
        <w:t>many</w:t>
      </w:r>
      <w:r w:rsidR="008B1A11" w:rsidRPr="005A4C7D">
        <w:rPr>
          <w:rFonts w:eastAsia="Arial"/>
          <w:lang w:val="en-US"/>
        </w:rPr>
        <w:t xml:space="preserve"> biased</w:t>
      </w:r>
      <w:r w:rsidR="008B1A11" w:rsidRPr="005A4C7D">
        <w:rPr>
          <w:rFonts w:eastAsia="Arial"/>
        </w:rPr>
        <w:t xml:space="preserve"> aids</w:t>
      </w:r>
      <w:r w:rsidRPr="005A4C7D">
        <w:rPr>
          <w:rFonts w:eastAsia="Arial"/>
          <w:lang w:val="en-US"/>
        </w:rPr>
        <w:t>-</w:t>
      </w:r>
      <w:r w:rsidRPr="005A4C7D">
        <w:rPr>
          <w:rFonts w:eastAsia="Arial"/>
        </w:rPr>
        <w:t xml:space="preserve">related studies </w:t>
      </w:r>
      <w:r w:rsidR="008B1A11" w:rsidRPr="005A4C7D">
        <w:rPr>
          <w:rFonts w:eastAsia="Arial"/>
          <w:lang w:val="en-US"/>
        </w:rPr>
        <w:t>t</w:t>
      </w:r>
      <w:r w:rsidRPr="005A4C7D">
        <w:rPr>
          <w:rFonts w:eastAsia="Arial"/>
        </w:rPr>
        <w:t>owards donors because of financial sponsorship</w:t>
      </w:r>
      <w:r w:rsidR="0081742D">
        <w:rPr>
          <w:rFonts w:eastAsia="Arial"/>
        </w:rPr>
        <w:t xml:space="preserve">. </w:t>
      </w:r>
      <w:r w:rsidRPr="005A4C7D">
        <w:rPr>
          <w:rFonts w:eastAsia="Arial"/>
        </w:rPr>
        <w:t>To date, notwithstanding all aid ineffectiveness studies have anchored on disbursements, yet there is almost no reference that shows unequivocally that disbursement delays alone are the primary cause of loan projects ineffectiveness in achieving the putative development rhetoric. Let alone from banking theories and practices. Hence, our paper is filling this gap.</w:t>
      </w:r>
    </w:p>
    <w:p w14:paraId="078FB829" w14:textId="77777777" w:rsidR="00137F8E" w:rsidRPr="005A4C7D" w:rsidRDefault="00137F8E" w:rsidP="00137F8E">
      <w:pPr>
        <w:spacing w:line="360" w:lineRule="auto"/>
        <w:jc w:val="both"/>
        <w:rPr>
          <w:rFonts w:eastAsia="Arial"/>
        </w:rPr>
      </w:pPr>
    </w:p>
    <w:p w14:paraId="2F98A761" w14:textId="31E407AA" w:rsidR="00137F8E" w:rsidRPr="005A4C7D" w:rsidRDefault="00137F8E" w:rsidP="00137F8E">
      <w:pPr>
        <w:spacing w:line="360" w:lineRule="auto"/>
        <w:jc w:val="both"/>
        <w:rPr>
          <w:rFonts w:eastAsia="Arial"/>
        </w:rPr>
      </w:pPr>
      <w:r w:rsidRPr="005A4C7D">
        <w:rPr>
          <w:rFonts w:eastAsia="Arial"/>
        </w:rPr>
        <w:t>We argue that 5-year disbursement delays under ADB standard loan projects implementation in Indonesia, as opposed to the full disbursement of 100% in year-1, reduces not only long-term job creation by about 70%</w:t>
      </w:r>
      <w:r w:rsidR="0081742D">
        <w:rPr>
          <w:rFonts w:eastAsia="Arial"/>
          <w:lang w:val="en-US"/>
        </w:rPr>
        <w:t xml:space="preserve">. </w:t>
      </w:r>
      <w:r w:rsidR="003D27A5">
        <w:rPr>
          <w:rFonts w:eastAsia="Arial"/>
          <w:lang w:val="en-US"/>
        </w:rPr>
        <w:t>T</w:t>
      </w:r>
      <w:r w:rsidRPr="005A4C7D">
        <w:rPr>
          <w:rFonts w:eastAsia="Arial"/>
        </w:rPr>
        <w:t>he remaining 30% enjoyed beyond year-5 but also increasing 1.7 times unemployment level because of loss of job creation opportunities</w:t>
      </w:r>
      <w:r w:rsidR="0081742D">
        <w:rPr>
          <w:rFonts w:eastAsia="Arial"/>
        </w:rPr>
        <w:t xml:space="preserve">. </w:t>
      </w:r>
      <w:r w:rsidRPr="005A4C7D">
        <w:rPr>
          <w:rFonts w:eastAsia="Arial"/>
        </w:rPr>
        <w:t>Delays beyond 5 years and incorporating compounded interest and fees likewise the financial costs of delays under the Loanable Fund (LF), severely affecting growth which triples unemployment negatively. Disbursement delays induce financial losses as capital out-flights over ten times the loan value (Fauzi and Ingratubun, 2020) under fractional reserve banking (FRB) theory</w:t>
      </w:r>
      <w:r w:rsidR="0081742D">
        <w:rPr>
          <w:rFonts w:eastAsia="Arial"/>
        </w:rPr>
        <w:t xml:space="preserve">. </w:t>
      </w:r>
      <w:r w:rsidRPr="005A4C7D">
        <w:rPr>
          <w:rFonts w:eastAsia="Arial"/>
        </w:rPr>
        <w:t>If</w:t>
      </w:r>
      <w:r w:rsidR="008B1A11" w:rsidRPr="005A4C7D">
        <w:rPr>
          <w:rFonts w:eastAsia="Arial"/>
          <w:lang w:val="en-US"/>
        </w:rPr>
        <w:t xml:space="preserve"> we endogenized</w:t>
      </w:r>
      <w:r w:rsidRPr="005A4C7D">
        <w:rPr>
          <w:rFonts w:eastAsia="Arial"/>
        </w:rPr>
        <w:t xml:space="preserve"> these losses in favor of Indonesia, the disbursement delays would hold back growth and increase unemployment. Thus, ADB loans with or without delays have zero impact on increasing </w:t>
      </w:r>
      <w:r w:rsidR="00E51683">
        <w:rPr>
          <w:rFonts w:eastAsia="Arial"/>
          <w:lang w:val="en-US"/>
        </w:rPr>
        <w:t>growth</w:t>
      </w:r>
      <w:r w:rsidRPr="005A4C7D">
        <w:rPr>
          <w:rFonts w:eastAsia="Arial"/>
        </w:rPr>
        <w:t xml:space="preserve"> and reducing unemployment</w:t>
      </w:r>
      <w:r w:rsidR="0081742D">
        <w:rPr>
          <w:rFonts w:eastAsia="Arial"/>
          <w:lang w:val="en-US"/>
        </w:rPr>
        <w:t xml:space="preserve">. </w:t>
      </w:r>
      <w:r w:rsidR="0022121C">
        <w:rPr>
          <w:rFonts w:eastAsia="Arial"/>
          <w:lang w:val="en-US"/>
        </w:rPr>
        <w:t>B</w:t>
      </w:r>
      <w:r w:rsidR="000925F5">
        <w:rPr>
          <w:rFonts w:eastAsia="Arial"/>
          <w:lang w:val="en-US"/>
        </w:rPr>
        <w:t xml:space="preserve">ut </w:t>
      </w:r>
      <w:r w:rsidRPr="005A4C7D">
        <w:rPr>
          <w:rFonts w:eastAsia="Arial"/>
        </w:rPr>
        <w:t xml:space="preserve">worsen them, hence </w:t>
      </w:r>
      <w:r w:rsidR="008B1A11" w:rsidRPr="005A4C7D">
        <w:rPr>
          <w:rFonts w:eastAsia="Arial"/>
          <w:lang w:val="en-US"/>
        </w:rPr>
        <w:t xml:space="preserve">the </w:t>
      </w:r>
      <w:r w:rsidRPr="005A4C7D">
        <w:rPr>
          <w:rFonts w:eastAsia="Arial"/>
        </w:rPr>
        <w:t xml:space="preserve">Dutch disease going in reverse </w:t>
      </w:r>
      <w:r w:rsidR="008B1A11" w:rsidRPr="005A4C7D">
        <w:rPr>
          <w:rFonts w:eastAsia="Arial"/>
          <w:lang w:val="en-US"/>
        </w:rPr>
        <w:t xml:space="preserve">is inflicting Indonesia, </w:t>
      </w:r>
      <w:r w:rsidRPr="005A4C7D">
        <w:rPr>
          <w:rFonts w:eastAsia="Arial"/>
        </w:rPr>
        <w:t xml:space="preserve">which we term as </w:t>
      </w:r>
      <w:r w:rsidRPr="00E51683">
        <w:rPr>
          <w:rFonts w:eastAsia="Arial"/>
          <w:i/>
          <w:iCs/>
        </w:rPr>
        <w:t>Dutch Curse</w:t>
      </w:r>
      <w:r w:rsidR="0081742D">
        <w:rPr>
          <w:rFonts w:eastAsia="Arial"/>
        </w:rPr>
        <w:t xml:space="preserve">. </w:t>
      </w:r>
    </w:p>
    <w:p w14:paraId="0E5A0DB5" w14:textId="77777777" w:rsidR="00137F8E" w:rsidRPr="005A4C7D" w:rsidRDefault="00137F8E" w:rsidP="00137F8E">
      <w:pPr>
        <w:spacing w:line="360" w:lineRule="auto"/>
        <w:jc w:val="both"/>
        <w:rPr>
          <w:rFonts w:eastAsia="Arial"/>
        </w:rPr>
      </w:pPr>
    </w:p>
    <w:p w14:paraId="2FCC8796" w14:textId="529DE7A5" w:rsidR="00137F8E" w:rsidRPr="005A4C7D" w:rsidRDefault="00137F8E" w:rsidP="00137F8E">
      <w:pPr>
        <w:spacing w:line="360" w:lineRule="auto"/>
        <w:jc w:val="both"/>
        <w:rPr>
          <w:rFonts w:eastAsia="Arial"/>
        </w:rPr>
      </w:pPr>
      <w:r w:rsidRPr="005A4C7D">
        <w:rPr>
          <w:rFonts w:eastAsia="Arial"/>
        </w:rPr>
        <w:t xml:space="preserve">The following sections discuss aid volatility definitions, ADB implementation delays, and Indonesia’s capitals in ADB. The underlying theory of the negative impact of disbursement delays on growth and unemployment, a literature review on aid volatility and returns per U.S. dollar aid, a brief description of capital endogenization, and three banking theories and practices. </w:t>
      </w:r>
      <w:r w:rsidR="00D43229" w:rsidRPr="005A4C7D">
        <w:rPr>
          <w:rFonts w:eastAsia="Arial"/>
          <w:lang w:val="en-US"/>
        </w:rPr>
        <w:t>Succeeding this,</w:t>
      </w:r>
      <w:r w:rsidRPr="005A4C7D">
        <w:rPr>
          <w:rFonts w:eastAsia="Arial"/>
        </w:rPr>
        <w:t xml:space="preserve"> an elaboration on the novel methodology, discussion on the results, and followed by recommendations. Fauzi and Ingratubun (2020)</w:t>
      </w:r>
      <w:r w:rsidRPr="005A4C7D">
        <w:rPr>
          <w:rFonts w:eastAsia="Arial"/>
          <w:lang w:val="en-US"/>
        </w:rPr>
        <w:t xml:space="preserve"> provide </w:t>
      </w:r>
      <w:r w:rsidRPr="005A4C7D">
        <w:rPr>
          <w:rFonts w:eastAsia="Arial"/>
        </w:rPr>
        <w:t xml:space="preserve">Detailed discussions on ADB loan impacts on </w:t>
      </w:r>
      <w:r w:rsidR="00E51683">
        <w:rPr>
          <w:rFonts w:eastAsia="Arial"/>
          <w:lang w:val="en-US"/>
        </w:rPr>
        <w:t xml:space="preserve">the economic </w:t>
      </w:r>
      <w:r w:rsidRPr="005A4C7D">
        <w:rPr>
          <w:rFonts w:eastAsia="Arial"/>
        </w:rPr>
        <w:t>growth</w:t>
      </w:r>
      <w:r w:rsidR="00E51683">
        <w:rPr>
          <w:rFonts w:eastAsia="Arial"/>
          <w:lang w:val="en-US"/>
        </w:rPr>
        <w:t xml:space="preserve"> of Indonesia</w:t>
      </w:r>
      <w:r w:rsidRPr="005A4C7D">
        <w:rPr>
          <w:rFonts w:eastAsia="Arial"/>
          <w:lang w:val="en-US"/>
        </w:rPr>
        <w:t xml:space="preserve">, </w:t>
      </w:r>
      <w:r w:rsidRPr="005A4C7D">
        <w:rPr>
          <w:rFonts w:eastAsia="Arial"/>
        </w:rPr>
        <w:t>hence this paper briefly touches upon growth and is expounding on unemployment.</w:t>
      </w:r>
    </w:p>
    <w:p w14:paraId="547A4D1F" w14:textId="77777777" w:rsidR="00137F8E" w:rsidRPr="005A4C7D" w:rsidRDefault="00137F8E" w:rsidP="00137F8E">
      <w:pPr>
        <w:keepNext/>
        <w:numPr>
          <w:ilvl w:val="0"/>
          <w:numId w:val="18"/>
        </w:numPr>
        <w:pBdr>
          <w:top w:val="nil"/>
          <w:left w:val="nil"/>
          <w:bottom w:val="nil"/>
          <w:right w:val="nil"/>
          <w:between w:val="nil"/>
        </w:pBdr>
        <w:spacing w:before="240" w:after="240" w:line="360" w:lineRule="auto"/>
        <w:ind w:left="426" w:hanging="426"/>
        <w:jc w:val="both"/>
        <w:rPr>
          <w:rFonts w:eastAsia="Arial"/>
        </w:rPr>
      </w:pPr>
      <w:r w:rsidRPr="005A4C7D">
        <w:rPr>
          <w:rFonts w:eastAsia="Arial"/>
          <w:b/>
        </w:rPr>
        <w:t>Aid</w:t>
      </w:r>
      <w:r w:rsidRPr="005A4C7D">
        <w:rPr>
          <w:rFonts w:eastAsia="Arial"/>
          <w:sz w:val="28"/>
          <w:szCs w:val="28"/>
          <w:vertAlign w:val="superscript"/>
        </w:rPr>
        <w:footnoteReference w:id="2"/>
      </w:r>
      <w:r w:rsidRPr="005A4C7D">
        <w:rPr>
          <w:rFonts w:eastAsia="Arial"/>
          <w:b/>
        </w:rPr>
        <w:t xml:space="preserve"> volatility and unemployment definition</w:t>
      </w:r>
    </w:p>
    <w:p w14:paraId="72ED90F9" w14:textId="54E80AA7" w:rsidR="00137F8E" w:rsidRPr="005A4C7D" w:rsidRDefault="00137F8E" w:rsidP="00137F8E">
      <w:pPr>
        <w:spacing w:line="360" w:lineRule="auto"/>
        <w:jc w:val="both"/>
        <w:rPr>
          <w:rFonts w:eastAsia="Arial"/>
        </w:rPr>
      </w:pPr>
      <w:r w:rsidRPr="005A4C7D">
        <w:rPr>
          <w:rFonts w:eastAsia="Arial"/>
        </w:rPr>
        <w:t>Most authors infer aid volatility as the difference between commitment and disbursements (Pallage and Robe, 2001; Bulíř and Haman, 2006; Eifert and Gelb, 2005)</w:t>
      </w:r>
      <w:r w:rsidR="0081742D">
        <w:rPr>
          <w:rFonts w:eastAsia="Arial"/>
          <w:lang w:val="en-US"/>
        </w:rPr>
        <w:t xml:space="preserve">. </w:t>
      </w:r>
      <w:r w:rsidRPr="005A4C7D">
        <w:rPr>
          <w:rFonts w:eastAsia="Arial"/>
        </w:rPr>
        <w:t>Bulíř and Lane (2004) refer to aid conditionalities and shortfalls by Celasun and Walliser (2008)</w:t>
      </w:r>
      <w:r w:rsidR="0081742D">
        <w:rPr>
          <w:rFonts w:eastAsia="Arial"/>
        </w:rPr>
        <w:t xml:space="preserve">. </w:t>
      </w:r>
      <w:r w:rsidRPr="005A4C7D">
        <w:rPr>
          <w:rFonts w:eastAsia="Arial"/>
        </w:rPr>
        <w:t xml:space="preserve">All of them harnessed disbursement as the main predictor and almost all are using econometrics approaches while the rest with contextual descriptions. </w:t>
      </w:r>
    </w:p>
    <w:p w14:paraId="1EDFA42F" w14:textId="77777777" w:rsidR="00137F8E" w:rsidRPr="005A4C7D" w:rsidRDefault="00137F8E" w:rsidP="00137F8E">
      <w:pPr>
        <w:spacing w:line="360" w:lineRule="auto"/>
        <w:jc w:val="both"/>
        <w:rPr>
          <w:rFonts w:eastAsia="Arial"/>
        </w:rPr>
      </w:pPr>
    </w:p>
    <w:p w14:paraId="04AA5F24" w14:textId="07330136" w:rsidR="00137F8E" w:rsidRPr="005A4C7D" w:rsidRDefault="0040097E" w:rsidP="00137F8E">
      <w:pPr>
        <w:spacing w:line="360" w:lineRule="auto"/>
        <w:jc w:val="both"/>
        <w:rPr>
          <w:rFonts w:eastAsia="Arial"/>
        </w:rPr>
      </w:pPr>
      <w:r>
        <w:rPr>
          <w:rFonts w:eastAsia="Arial"/>
          <w:lang w:val="en-US"/>
        </w:rPr>
        <w:lastRenderedPageBreak/>
        <w:t>Our</w:t>
      </w:r>
      <w:r w:rsidR="00137F8E" w:rsidRPr="005A4C7D">
        <w:rPr>
          <w:rFonts w:eastAsia="Arial"/>
        </w:rPr>
        <w:t xml:space="preserve"> paper specifically deals with ADB loans to Indonesia and defines aid volatility </w:t>
      </w:r>
      <w:r>
        <w:rPr>
          <w:rFonts w:eastAsia="Arial"/>
          <w:lang w:val="en-US"/>
        </w:rPr>
        <w:t>because</w:t>
      </w:r>
      <w:r w:rsidR="0022121C">
        <w:rPr>
          <w:rFonts w:eastAsia="Arial"/>
          <w:lang w:val="en-US"/>
        </w:rPr>
        <w:t xml:space="preserve"> </w:t>
      </w:r>
      <w:r w:rsidR="00137F8E" w:rsidRPr="005A4C7D">
        <w:rPr>
          <w:rFonts w:eastAsia="Arial"/>
        </w:rPr>
        <w:t>of disbursement delays</w:t>
      </w:r>
      <w:r w:rsidR="0081742D">
        <w:rPr>
          <w:rFonts w:eastAsia="Arial"/>
          <w:lang w:val="en-US"/>
        </w:rPr>
        <w:t xml:space="preserve">. </w:t>
      </w:r>
      <w:r>
        <w:rPr>
          <w:rFonts w:eastAsia="Arial"/>
          <w:lang w:val="en-US"/>
        </w:rPr>
        <w:t>We</w:t>
      </w:r>
      <w:r w:rsidR="00137F8E" w:rsidRPr="005A4C7D">
        <w:rPr>
          <w:rFonts w:eastAsia="Arial"/>
        </w:rPr>
        <w:t xml:space="preserve"> measure </w:t>
      </w:r>
      <w:r>
        <w:rPr>
          <w:rFonts w:eastAsia="Arial"/>
          <w:lang w:val="en-US"/>
        </w:rPr>
        <w:t>this by</w:t>
      </w:r>
      <w:r w:rsidR="00137F8E" w:rsidRPr="005A4C7D">
        <w:rPr>
          <w:rFonts w:eastAsia="Arial"/>
        </w:rPr>
        <w:t xml:space="preserve"> the difference between 100% loan disbursement in year-1 upon loan agreement (LA) signing versus planned and/or actual disbursements. </w:t>
      </w:r>
      <w:r w:rsidR="00137F8E" w:rsidRPr="005A4C7D">
        <w:rPr>
          <w:rFonts w:eastAsia="Arial"/>
          <w:lang w:val="en-US"/>
        </w:rPr>
        <w:t>We did t</w:t>
      </w:r>
      <w:r w:rsidR="00137F8E" w:rsidRPr="005A4C7D">
        <w:rPr>
          <w:rFonts w:eastAsia="Arial"/>
        </w:rPr>
        <w:t>he analysis using a non-econometric yet empirical methodology aided by graphical and numerical explorations.</w:t>
      </w:r>
    </w:p>
    <w:p w14:paraId="1710A72C" w14:textId="77777777" w:rsidR="00137F8E" w:rsidRPr="005A4C7D" w:rsidRDefault="00137F8E" w:rsidP="00137F8E">
      <w:pPr>
        <w:spacing w:line="360" w:lineRule="auto"/>
        <w:jc w:val="both"/>
        <w:rPr>
          <w:rFonts w:eastAsia="Arial"/>
        </w:rPr>
      </w:pPr>
    </w:p>
    <w:p w14:paraId="74E9F436" w14:textId="573B2BCA" w:rsidR="00137F8E" w:rsidRPr="005A4C7D" w:rsidRDefault="00137F8E" w:rsidP="00137F8E">
      <w:pPr>
        <w:spacing w:line="360" w:lineRule="auto"/>
        <w:jc w:val="both"/>
        <w:rPr>
          <w:rFonts w:eastAsia="Arial"/>
          <w:strike/>
          <w:color w:val="FF0000"/>
        </w:rPr>
      </w:pPr>
      <w:r w:rsidRPr="005A4C7D">
        <w:rPr>
          <w:rFonts w:eastAsia="Arial"/>
        </w:rPr>
        <w:t xml:space="preserve">We use the </w:t>
      </w:r>
      <w:r w:rsidR="00E51683">
        <w:rPr>
          <w:rFonts w:eastAsia="Arial"/>
          <w:lang w:val="en-US"/>
        </w:rPr>
        <w:t xml:space="preserve">unemployment </w:t>
      </w:r>
      <w:r w:rsidRPr="005A4C7D">
        <w:rPr>
          <w:rFonts w:eastAsia="Arial"/>
        </w:rPr>
        <w:t>definition</w:t>
      </w:r>
      <w:r w:rsidR="00E51683">
        <w:rPr>
          <w:rFonts w:eastAsia="Arial"/>
          <w:lang w:val="en-US"/>
        </w:rPr>
        <w:t xml:space="preserve"> by the World Bank</w:t>
      </w:r>
      <w:r w:rsidRPr="005A4C7D">
        <w:rPr>
          <w:rFonts w:eastAsia="Arial"/>
        </w:rPr>
        <w:t xml:space="preserve"> that is </w:t>
      </w:r>
      <w:r w:rsidR="009B0554">
        <w:rPr>
          <w:rFonts w:eastAsia="Arial"/>
          <w:i/>
          <w:color w:val="0000CC"/>
          <w:lang w:val="en-US"/>
        </w:rPr>
        <w:t>“</w:t>
      </w:r>
      <w:r w:rsidRPr="005A4C7D">
        <w:rPr>
          <w:rFonts w:eastAsia="Arial"/>
          <w:i/>
          <w:color w:val="0000CC"/>
        </w:rPr>
        <w:t>the share of the labor force that is without work but available for and seeking employment.”</w:t>
      </w:r>
      <w:r w:rsidRPr="005A4C7D">
        <w:rPr>
          <w:rFonts w:eastAsia="Arial"/>
        </w:rPr>
        <w:t xml:space="preserve"> Definitions of the labor force and unemployment differ by country.</w:t>
      </w:r>
    </w:p>
    <w:p w14:paraId="4E4AA26B" w14:textId="77777777" w:rsidR="00137F8E" w:rsidRPr="005A4C7D" w:rsidRDefault="00137F8E" w:rsidP="00137F8E">
      <w:pPr>
        <w:keepNext/>
        <w:numPr>
          <w:ilvl w:val="0"/>
          <w:numId w:val="18"/>
        </w:numPr>
        <w:pBdr>
          <w:top w:val="nil"/>
          <w:left w:val="nil"/>
          <w:bottom w:val="nil"/>
          <w:right w:val="nil"/>
          <w:between w:val="nil"/>
        </w:pBdr>
        <w:spacing w:before="240" w:after="240" w:line="360" w:lineRule="auto"/>
        <w:jc w:val="both"/>
        <w:rPr>
          <w:rFonts w:eastAsia="Arial"/>
        </w:rPr>
      </w:pPr>
      <w:r w:rsidRPr="005A4C7D">
        <w:rPr>
          <w:rFonts w:eastAsia="Arial"/>
          <w:b/>
        </w:rPr>
        <w:t xml:space="preserve">ADB Disbursement Delays in Indonesia </w:t>
      </w:r>
    </w:p>
    <w:p w14:paraId="2045C4CE" w14:textId="6104BF3D" w:rsidR="00137F8E" w:rsidRPr="005A4C7D" w:rsidRDefault="00F16180" w:rsidP="00137F8E">
      <w:pPr>
        <w:shd w:val="clear" w:color="auto" w:fill="FFFFFF"/>
        <w:spacing w:line="360" w:lineRule="auto"/>
        <w:jc w:val="both"/>
        <w:rPr>
          <w:rFonts w:eastAsia="Arial"/>
        </w:rPr>
      </w:pPr>
      <w:r>
        <w:rPr>
          <w:rFonts w:eastAsia="Arial"/>
          <w:lang w:val="en-US"/>
        </w:rPr>
        <w:t>D</w:t>
      </w:r>
      <w:r w:rsidR="00137F8E" w:rsidRPr="005A4C7D">
        <w:rPr>
          <w:rFonts w:eastAsia="Arial"/>
        </w:rPr>
        <w:t>evelopment banks, such as the ADB, operate in similar ways to traditional banks (Mazzi, 2013:</w:t>
      </w:r>
      <w:r>
        <w:rPr>
          <w:rFonts w:eastAsia="Arial"/>
          <w:lang w:val="en-US"/>
        </w:rPr>
        <w:t xml:space="preserve"> </w:t>
      </w:r>
      <w:r w:rsidR="00137F8E" w:rsidRPr="005A4C7D">
        <w:rPr>
          <w:rFonts w:eastAsia="Arial"/>
        </w:rPr>
        <w:t>xxvi)</w:t>
      </w:r>
      <w:r w:rsidR="0081742D">
        <w:rPr>
          <w:rFonts w:eastAsia="Arial"/>
          <w:lang w:val="en-US"/>
        </w:rPr>
        <w:t xml:space="preserve">. </w:t>
      </w:r>
      <w:r>
        <w:rPr>
          <w:rFonts w:eastAsia="Arial"/>
          <w:lang w:val="en-US"/>
        </w:rPr>
        <w:t xml:space="preserve">However, </w:t>
      </w:r>
      <w:r w:rsidR="00137F8E" w:rsidRPr="005A4C7D">
        <w:rPr>
          <w:rFonts w:eastAsia="Arial"/>
        </w:rPr>
        <w:t xml:space="preserve">unlike borrowing from a commercial bank where the fund or bank credit </w:t>
      </w:r>
      <w:r w:rsidR="00D43229" w:rsidRPr="005A4C7D">
        <w:rPr>
          <w:rFonts w:eastAsia="Arial"/>
          <w:lang w:val="en-US"/>
        </w:rPr>
        <w:t xml:space="preserve">disbursement </w:t>
      </w:r>
      <w:r w:rsidR="00137F8E" w:rsidRPr="005A4C7D">
        <w:rPr>
          <w:rFonts w:eastAsia="Arial"/>
        </w:rPr>
        <w:t>in-full and deposited into the borrower’s controlled-account upon Loan Agreement (LA) signing, borrowing from ADB does not work like this (Figure-1)</w:t>
      </w:r>
      <w:r w:rsidR="0081742D">
        <w:rPr>
          <w:rFonts w:eastAsia="Arial"/>
        </w:rPr>
        <w:t xml:space="preserve">. </w:t>
      </w:r>
    </w:p>
    <w:p w14:paraId="2F9BD5D3" w14:textId="77777777" w:rsidR="00137F8E" w:rsidRPr="005A4C7D" w:rsidRDefault="00137F8E" w:rsidP="00137F8E">
      <w:pPr>
        <w:shd w:val="clear" w:color="auto" w:fill="FFFFFF"/>
        <w:spacing w:line="360" w:lineRule="auto"/>
        <w:jc w:val="both"/>
        <w:rPr>
          <w:rFonts w:eastAsia="Arial"/>
        </w:rPr>
      </w:pPr>
    </w:p>
    <w:p w14:paraId="0866C1F8" w14:textId="1B0A037B" w:rsidR="00137F8E" w:rsidRPr="005A4C7D" w:rsidRDefault="00137F8E" w:rsidP="00137F8E">
      <w:pPr>
        <w:shd w:val="clear" w:color="auto" w:fill="FFFFFF"/>
        <w:spacing w:line="360" w:lineRule="auto"/>
        <w:jc w:val="both"/>
        <w:rPr>
          <w:rFonts w:eastAsia="Arial"/>
        </w:rPr>
      </w:pPr>
      <w:r w:rsidRPr="005A4C7D">
        <w:rPr>
          <w:rFonts w:eastAsia="Arial"/>
        </w:rPr>
        <w:t>The ADB ties its disbursements with certain conditionalities and controls the loan account</w:t>
      </w:r>
      <w:r w:rsidR="0081742D">
        <w:rPr>
          <w:rFonts w:eastAsia="Arial"/>
        </w:rPr>
        <w:t xml:space="preserve">. </w:t>
      </w:r>
      <w:r w:rsidRPr="005A4C7D">
        <w:rPr>
          <w:rFonts w:eastAsia="Arial"/>
        </w:rPr>
        <w:t xml:space="preserve">Kanbur (2000:pp.413-416), a former World Bank staffer, expresses that conditionality of whatever type has failed in Africa and </w:t>
      </w:r>
      <w:r w:rsidR="00D43229" w:rsidRPr="005A4C7D">
        <w:rPr>
          <w:rFonts w:eastAsia="Arial"/>
        </w:rPr>
        <w:t>they designed it</w:t>
      </w:r>
      <w:r w:rsidRPr="005A4C7D">
        <w:rPr>
          <w:rFonts w:eastAsia="Arial"/>
        </w:rPr>
        <w:t xml:space="preserve"> to fail as a systemic imperative to ensure the aid keeps flowing</w:t>
      </w:r>
      <w:r w:rsidR="0081742D">
        <w:rPr>
          <w:rFonts w:eastAsia="Arial"/>
        </w:rPr>
        <w:t xml:space="preserve">. </w:t>
      </w:r>
      <w:r w:rsidR="00D43229" w:rsidRPr="005A4C7D">
        <w:rPr>
          <w:rFonts w:eastAsia="Arial"/>
        </w:rPr>
        <w:t>Conditionality</w:t>
      </w:r>
      <w:r w:rsidRPr="005A4C7D">
        <w:rPr>
          <w:rFonts w:eastAsia="Arial"/>
        </w:rPr>
        <w:t xml:space="preserve"> incriminates the </w:t>
      </w:r>
      <w:r w:rsidR="00D43229" w:rsidRPr="005A4C7D">
        <w:rPr>
          <w:rFonts w:eastAsia="Arial"/>
        </w:rPr>
        <w:t>actual issue</w:t>
      </w:r>
      <w:r w:rsidRPr="005A4C7D">
        <w:rPr>
          <w:rFonts w:eastAsia="Arial"/>
        </w:rPr>
        <w:t xml:space="preserve"> that is</w:t>
      </w:r>
      <w:r w:rsidRPr="005A4C7D">
        <w:rPr>
          <w:rFonts w:eastAsia="Arial"/>
          <w:color w:val="0000CC"/>
        </w:rPr>
        <w:t xml:space="preserve"> “</w:t>
      </w:r>
      <w:r w:rsidRPr="005A4C7D">
        <w:rPr>
          <w:rFonts w:eastAsia="Arial"/>
          <w:i/>
          <w:color w:val="0000CC"/>
        </w:rPr>
        <w:t>one of an unhealthy interaction between donor and recipient processes which propagate aid dependence but are not so simple as to be characterized as the strength of the donors and the weakness of the recipients</w:t>
      </w:r>
      <w:r w:rsidR="009B0554">
        <w:rPr>
          <w:rFonts w:eastAsia="Arial"/>
          <w:i/>
          <w:color w:val="0000CC"/>
          <w:lang w:val="en-US"/>
        </w:rPr>
        <w:t>.</w:t>
      </w:r>
      <w:r w:rsidRPr="005A4C7D">
        <w:rPr>
          <w:rFonts w:eastAsia="Arial"/>
          <w:color w:val="0000CC"/>
        </w:rPr>
        <w:t xml:space="preserve">” </w:t>
      </w:r>
      <w:r w:rsidRPr="005A4C7D">
        <w:rPr>
          <w:rFonts w:eastAsia="Arial"/>
        </w:rPr>
        <w:t>(Kanbur 2000:414) To date, as shown by Howarth (2017:33) that the infliction of conditionality is a nuisance, highly controversial, and ineffective.</w:t>
      </w:r>
    </w:p>
    <w:p w14:paraId="692BF10D" w14:textId="77777777" w:rsidR="00137F8E" w:rsidRPr="005A4C7D" w:rsidRDefault="00137F8E" w:rsidP="00137F8E">
      <w:pPr>
        <w:shd w:val="clear" w:color="auto" w:fill="FFFFFF"/>
        <w:spacing w:line="360" w:lineRule="auto"/>
        <w:jc w:val="both"/>
        <w:rPr>
          <w:rFonts w:eastAsia="Arial"/>
        </w:rPr>
      </w:pPr>
    </w:p>
    <w:p w14:paraId="55CB7522" w14:textId="489E6881" w:rsidR="00137F8E" w:rsidRPr="005A4C7D" w:rsidRDefault="00137F8E" w:rsidP="00137F8E">
      <w:pPr>
        <w:shd w:val="clear" w:color="auto" w:fill="FFFFFF"/>
        <w:spacing w:line="360" w:lineRule="auto"/>
        <w:jc w:val="both"/>
        <w:rPr>
          <w:rFonts w:eastAsia="Arial"/>
        </w:rPr>
      </w:pPr>
      <w:r w:rsidRPr="005A4C7D">
        <w:rPr>
          <w:rFonts w:eastAsia="Arial"/>
        </w:rPr>
        <w:t xml:space="preserve">Essentially ADB requires that upon signing, </w:t>
      </w:r>
      <w:r w:rsidR="00D43229" w:rsidRPr="005A4C7D">
        <w:rPr>
          <w:rFonts w:eastAsia="Arial"/>
        </w:rPr>
        <w:t>the</w:t>
      </w:r>
      <w:r w:rsidR="00D43229" w:rsidRPr="005A4C7D">
        <w:rPr>
          <w:rFonts w:eastAsia="Arial"/>
          <w:lang w:val="en-US"/>
        </w:rPr>
        <w:t xml:space="preserve"> borrowers</w:t>
      </w:r>
      <w:r w:rsidR="00D43229" w:rsidRPr="005A4C7D">
        <w:rPr>
          <w:rFonts w:eastAsia="Arial"/>
        </w:rPr>
        <w:t xml:space="preserve"> must meet certain LA conditions</w:t>
      </w:r>
      <w:r w:rsidRPr="005A4C7D">
        <w:rPr>
          <w:rFonts w:eastAsia="Arial"/>
        </w:rPr>
        <w:t xml:space="preserve"> before making the first disbursement, and only then will the loan </w:t>
      </w:r>
      <w:r w:rsidRPr="005A4C7D">
        <w:rPr>
          <w:rFonts w:eastAsia="Arial"/>
          <w:lang w:val="en-US"/>
        </w:rPr>
        <w:t>becomes</w:t>
      </w:r>
      <w:r w:rsidRPr="005A4C7D">
        <w:rPr>
          <w:rFonts w:eastAsia="Arial"/>
        </w:rPr>
        <w:t xml:space="preserve"> effective which signifies the availability of loan funds. This is still subject to the submission of withdrawal application (WA) by the borrower and the formal </w:t>
      </w:r>
      <w:r w:rsidRPr="00B6611F">
        <w:rPr>
          <w:rFonts w:eastAsia="Arial"/>
          <w:i/>
          <w:iCs/>
        </w:rPr>
        <w:t>No-objection (NO)</w:t>
      </w:r>
      <w:r w:rsidRPr="005A4C7D">
        <w:rPr>
          <w:rFonts w:eastAsia="Arial"/>
        </w:rPr>
        <w:t xml:space="preserve"> issued by the ADB before </w:t>
      </w:r>
      <w:r w:rsidRPr="005A4C7D">
        <w:rPr>
          <w:rFonts w:eastAsia="Arial"/>
          <w:lang w:val="en-US"/>
        </w:rPr>
        <w:t xml:space="preserve">disbursing </w:t>
      </w:r>
      <w:r w:rsidRPr="005A4C7D">
        <w:rPr>
          <w:rFonts w:eastAsia="Arial"/>
        </w:rPr>
        <w:t xml:space="preserve">any funds. The process takes time and causes delays. Ensuant disbursements follow the same procedure. The Ministry of Finance of the Republic of Indonesia (MOF-RI, 2020) provided the first disbursements data for ADB loan projects (1969–2017, Project No.12–8327) with </w:t>
      </w:r>
      <w:r w:rsidR="000925F5">
        <w:rPr>
          <w:rFonts w:eastAsia="Arial"/>
        </w:rPr>
        <w:t xml:space="preserve">a </w:t>
      </w:r>
      <w:r w:rsidR="00D43229" w:rsidRPr="005A4C7D">
        <w:rPr>
          <w:rFonts w:eastAsia="Arial"/>
          <w:lang w:val="en-US"/>
        </w:rPr>
        <w:t xml:space="preserve">total </w:t>
      </w:r>
      <w:r w:rsidR="000925F5">
        <w:rPr>
          <w:rFonts w:eastAsia="Arial"/>
          <w:lang w:val="en-US"/>
        </w:rPr>
        <w:t xml:space="preserve">of </w:t>
      </w:r>
      <w:r w:rsidRPr="005A4C7D">
        <w:rPr>
          <w:rFonts w:eastAsia="Arial"/>
        </w:rPr>
        <w:t xml:space="preserve">$37 billion in </w:t>
      </w:r>
      <w:r w:rsidR="00D43229" w:rsidRPr="005A4C7D">
        <w:rPr>
          <w:rFonts w:eastAsia="Arial"/>
        </w:rPr>
        <w:t>U.S.</w:t>
      </w:r>
      <w:r w:rsidRPr="005A4C7D">
        <w:rPr>
          <w:rFonts w:eastAsia="Arial"/>
        </w:rPr>
        <w:t xml:space="preserve"> Dollars (Figure-2). Indonesia</w:t>
      </w:r>
      <w:r w:rsidRPr="005A4C7D">
        <w:rPr>
          <w:rFonts w:eastAsia="Arial"/>
          <w:lang w:val="en-US"/>
        </w:rPr>
        <w:t xml:space="preserve"> signed the</w:t>
      </w:r>
      <w:r w:rsidRPr="005A4C7D">
        <w:rPr>
          <w:rFonts w:eastAsia="Arial"/>
        </w:rPr>
        <w:t xml:space="preserve"> first ADB loan </w:t>
      </w:r>
      <w:r w:rsidRPr="005A4C7D">
        <w:rPr>
          <w:rFonts w:eastAsia="Arial"/>
        </w:rPr>
        <w:lastRenderedPageBreak/>
        <w:t xml:space="preserve">(No.12) on 2 July 1969 and took 3.7 years (year-4) for its first disbursement on 7 February 1973. </w:t>
      </w:r>
    </w:p>
    <w:p w14:paraId="79598B64" w14:textId="77777777" w:rsidR="00137F8E" w:rsidRPr="005A4C7D" w:rsidRDefault="00137F8E" w:rsidP="00137F8E">
      <w:pPr>
        <w:shd w:val="clear" w:color="auto" w:fill="FFFFFF"/>
        <w:spacing w:line="360" w:lineRule="auto"/>
        <w:jc w:val="both"/>
        <w:rPr>
          <w:rFonts w:eastAsia="Arial"/>
        </w:rPr>
      </w:pPr>
    </w:p>
    <w:p w14:paraId="7B4566B2" w14:textId="6517524A" w:rsidR="00137F8E" w:rsidRPr="005A4C7D" w:rsidRDefault="00137F8E" w:rsidP="00137F8E">
      <w:pPr>
        <w:shd w:val="clear" w:color="auto" w:fill="FFFFFF"/>
        <w:spacing w:line="360" w:lineRule="auto"/>
        <w:jc w:val="both"/>
        <w:rPr>
          <w:rFonts w:eastAsia="Arial"/>
        </w:rPr>
      </w:pPr>
      <w:r w:rsidRPr="005A4C7D">
        <w:rPr>
          <w:rFonts w:eastAsia="Arial"/>
        </w:rPr>
        <w:t>The average 1</w:t>
      </w:r>
      <w:r w:rsidRPr="005A4C7D">
        <w:rPr>
          <w:rFonts w:eastAsia="Arial"/>
          <w:vertAlign w:val="superscript"/>
        </w:rPr>
        <w:t>st</w:t>
      </w:r>
      <w:r w:rsidRPr="005A4C7D">
        <w:rPr>
          <w:rFonts w:eastAsia="Arial"/>
        </w:rPr>
        <w:t xml:space="preserve"> disbursement time since 1969 is over 2 years (year-3)</w:t>
      </w:r>
      <w:r w:rsidR="0081742D">
        <w:rPr>
          <w:rFonts w:eastAsia="Arial"/>
        </w:rPr>
        <w:t xml:space="preserve">. </w:t>
      </w:r>
      <w:r w:rsidRPr="005A4C7D">
        <w:rPr>
          <w:rFonts w:eastAsia="Arial"/>
        </w:rPr>
        <w:t xml:space="preserve">ADB-wide </w:t>
      </w:r>
      <w:r w:rsidRPr="005A4C7D">
        <w:rPr>
          <w:rFonts w:eastAsia="Arial"/>
          <w:lang w:val="en-US"/>
        </w:rPr>
        <w:t xml:space="preserve">standard </w:t>
      </w:r>
      <w:r w:rsidRPr="005A4C7D">
        <w:rPr>
          <w:rFonts w:eastAsia="Arial"/>
        </w:rPr>
        <w:t>overall project implementation duration</w:t>
      </w:r>
      <w:r w:rsidRPr="005A4C7D">
        <w:rPr>
          <w:rFonts w:eastAsia="Arial"/>
          <w:lang w:val="en-US"/>
        </w:rPr>
        <w:t xml:space="preserve"> is 5 years </w:t>
      </w:r>
      <w:r w:rsidRPr="005A4C7D">
        <w:rPr>
          <w:rFonts w:eastAsia="Arial"/>
        </w:rPr>
        <w:t>(ADB 2018 APPR</w:t>
      </w:r>
      <w:r w:rsidRPr="005A4C7D">
        <w:rPr>
          <w:rFonts w:eastAsia="Arial"/>
          <w:vertAlign w:val="superscript"/>
        </w:rPr>
        <w:footnoteReference w:id="3"/>
      </w:r>
      <w:r w:rsidRPr="005A4C7D">
        <w:rPr>
          <w:rFonts w:eastAsia="Arial"/>
        </w:rPr>
        <w:t>:21)</w:t>
      </w:r>
      <w:r w:rsidRPr="005A4C7D">
        <w:rPr>
          <w:rFonts w:eastAsia="Arial"/>
          <w:lang w:val="en-US"/>
        </w:rPr>
        <w:t xml:space="preserve"> that </w:t>
      </w:r>
      <w:r w:rsidRPr="005A4C7D">
        <w:rPr>
          <w:rFonts w:eastAsia="Arial"/>
        </w:rPr>
        <w:t>normally coincides with the grace period. On average, ADB-wide experiences 2.2 years of delays hence in their year-8 implementation (ADB 2018 APPR: iii)</w:t>
      </w:r>
      <w:r w:rsidR="0081742D">
        <w:rPr>
          <w:rFonts w:eastAsia="Arial"/>
        </w:rPr>
        <w:t xml:space="preserve">. </w:t>
      </w:r>
      <w:r w:rsidRPr="005A4C7D">
        <w:rPr>
          <w:rFonts w:eastAsia="Arial"/>
        </w:rPr>
        <w:t>This is consistent with Indonesia project data</w:t>
      </w:r>
      <w:r w:rsidR="0081742D">
        <w:rPr>
          <w:rFonts w:eastAsia="Arial"/>
        </w:rPr>
        <w:t xml:space="preserve">. </w:t>
      </w:r>
      <w:r w:rsidRPr="005A4C7D">
        <w:rPr>
          <w:rFonts w:eastAsia="Arial"/>
        </w:rPr>
        <w:t xml:space="preserve"> According to ADB President Nakao, about 90% of ADB loan projects are experiencing 2-year delays (Witular, 2016)</w:t>
      </w:r>
      <w:r w:rsidR="0081742D">
        <w:rPr>
          <w:rFonts w:eastAsia="Arial"/>
        </w:rPr>
        <w:t xml:space="preserve">. </w:t>
      </w:r>
      <w:r w:rsidRPr="005A4C7D">
        <w:rPr>
          <w:rFonts w:eastAsia="Arial"/>
        </w:rPr>
        <w:t>Hence, in our analysis, we use standard 5-year with 2 years of delays (7-year).</w:t>
      </w:r>
    </w:p>
    <w:p w14:paraId="3081C61B" w14:textId="77777777" w:rsidR="00137F8E" w:rsidRPr="005A4C7D" w:rsidRDefault="00137F8E" w:rsidP="00137F8E">
      <w:pPr>
        <w:keepNext/>
        <w:numPr>
          <w:ilvl w:val="0"/>
          <w:numId w:val="18"/>
        </w:numPr>
        <w:pBdr>
          <w:top w:val="nil"/>
          <w:left w:val="nil"/>
          <w:bottom w:val="nil"/>
          <w:right w:val="nil"/>
          <w:between w:val="nil"/>
        </w:pBdr>
        <w:spacing w:before="240" w:after="240" w:line="360" w:lineRule="auto"/>
        <w:ind w:left="426" w:hanging="426"/>
        <w:jc w:val="both"/>
        <w:rPr>
          <w:rFonts w:eastAsia="Arial"/>
          <w:b/>
          <w:bCs/>
        </w:rPr>
      </w:pPr>
      <w:r w:rsidRPr="005A4C7D">
        <w:rPr>
          <w:rFonts w:eastAsia="Arial"/>
          <w:b/>
          <w:bCs/>
        </w:rPr>
        <w:t>Indonesian Capitals in ADB</w:t>
      </w:r>
    </w:p>
    <w:p w14:paraId="7D99D4FE" w14:textId="1D540DB2" w:rsidR="00137F8E" w:rsidRPr="005A4C7D" w:rsidRDefault="00D43229" w:rsidP="00137F8E">
      <w:pPr>
        <w:shd w:val="clear" w:color="auto" w:fill="FFFFFF"/>
        <w:spacing w:line="360" w:lineRule="auto"/>
        <w:jc w:val="both"/>
        <w:rPr>
          <w:rFonts w:eastAsia="Arial"/>
          <w:i/>
          <w:color w:val="0000CC"/>
        </w:rPr>
      </w:pPr>
      <w:r w:rsidRPr="005A4C7D">
        <w:rPr>
          <w:rFonts w:eastAsia="Arial"/>
          <w:lang w:val="en-US"/>
        </w:rPr>
        <w:t>Established in 1966, t</w:t>
      </w:r>
      <w:r w:rsidR="00137F8E" w:rsidRPr="005A4C7D">
        <w:rPr>
          <w:rFonts w:eastAsia="Arial"/>
          <w:lang w:val="en-US"/>
        </w:rPr>
        <w:t xml:space="preserve">he </w:t>
      </w:r>
      <w:r w:rsidR="00137F8E" w:rsidRPr="005A4C7D">
        <w:rPr>
          <w:rFonts w:eastAsia="Arial"/>
        </w:rPr>
        <w:t>ADB as a quasi</w:t>
      </w:r>
      <w:r w:rsidR="00137F8E" w:rsidRPr="005A4C7D">
        <w:rPr>
          <w:rFonts w:eastAsia="Arial"/>
          <w:lang w:val="en-US"/>
        </w:rPr>
        <w:t>-</w:t>
      </w:r>
      <w:r w:rsidR="00137F8E" w:rsidRPr="005A4C7D">
        <w:rPr>
          <w:rFonts w:eastAsia="Arial"/>
        </w:rPr>
        <w:t xml:space="preserve">government </w:t>
      </w:r>
      <w:r w:rsidRPr="005A4C7D">
        <w:rPr>
          <w:rFonts w:eastAsia="Arial"/>
          <w:lang w:val="en-US"/>
        </w:rPr>
        <w:t>requires</w:t>
      </w:r>
      <w:r w:rsidR="00137F8E" w:rsidRPr="005A4C7D">
        <w:rPr>
          <w:rFonts w:eastAsia="Arial"/>
        </w:rPr>
        <w:t xml:space="preserve"> an establishment act</w:t>
      </w:r>
      <w:r w:rsidR="00137F8E" w:rsidRPr="005A4C7D">
        <w:rPr>
          <w:rFonts w:eastAsia="Arial"/>
          <w:lang w:val="en-US"/>
        </w:rPr>
        <w:t xml:space="preserve">, </w:t>
      </w:r>
      <w:r w:rsidR="00137F8E" w:rsidRPr="005A4C7D">
        <w:rPr>
          <w:rFonts w:eastAsia="Arial"/>
        </w:rPr>
        <w:t>which each member countries have to ratify through their national law</w:t>
      </w:r>
      <w:r w:rsidR="0081742D">
        <w:rPr>
          <w:rFonts w:eastAsia="Arial"/>
        </w:rPr>
        <w:t xml:space="preserve">. </w:t>
      </w:r>
      <w:r w:rsidR="00137F8E" w:rsidRPr="005A4C7D">
        <w:rPr>
          <w:rFonts w:eastAsia="Arial"/>
        </w:rPr>
        <w:t>Indonesi</w:t>
      </w:r>
      <w:proofErr w:type="spellStart"/>
      <w:r w:rsidRPr="005A4C7D">
        <w:rPr>
          <w:rFonts w:eastAsia="Arial"/>
          <w:lang w:val="en-US"/>
        </w:rPr>
        <w:t>a</w:t>
      </w:r>
      <w:proofErr w:type="spellEnd"/>
      <w:r w:rsidRPr="005A4C7D">
        <w:rPr>
          <w:rFonts w:eastAsia="Arial"/>
          <w:lang w:val="en-US"/>
        </w:rPr>
        <w:t xml:space="preserve"> </w:t>
      </w:r>
      <w:r w:rsidR="00137F8E" w:rsidRPr="005A4C7D">
        <w:rPr>
          <w:rFonts w:eastAsia="Arial"/>
          <w:lang w:val="en-US"/>
        </w:rPr>
        <w:t xml:space="preserve">enacted </w:t>
      </w:r>
      <w:r w:rsidRPr="005A4C7D">
        <w:rPr>
          <w:rFonts w:eastAsia="Arial"/>
          <w:lang w:val="en-US"/>
        </w:rPr>
        <w:t>the</w:t>
      </w:r>
      <w:r w:rsidR="00137F8E" w:rsidRPr="005A4C7D">
        <w:rPr>
          <w:rFonts w:eastAsia="Arial"/>
        </w:rPr>
        <w:t xml:space="preserve"> law No.4/1966 accordingly. This provides ADB with no competition to provide its services to Indonesia. Block (1988:3) expresses that when the government gives a legal status on an entity and passes a law that protects it from competitors, it creates unemployment</w:t>
      </w:r>
      <w:r w:rsidR="0081742D">
        <w:rPr>
          <w:rFonts w:eastAsia="Arial"/>
        </w:rPr>
        <w:t xml:space="preserve">. </w:t>
      </w:r>
      <w:r w:rsidR="00137F8E" w:rsidRPr="005A4C7D">
        <w:rPr>
          <w:rFonts w:eastAsia="Arial"/>
        </w:rPr>
        <w:t xml:space="preserve">Block argues that </w:t>
      </w:r>
      <w:r w:rsidR="00137F8E" w:rsidRPr="005A4C7D">
        <w:rPr>
          <w:rFonts w:eastAsia="Arial"/>
          <w:i/>
          <w:color w:val="0000CC"/>
        </w:rPr>
        <w:t xml:space="preserve">“[i]n almost every case, government programs are the cause of joblessness” </w:t>
      </w:r>
      <w:r w:rsidR="00137F8E" w:rsidRPr="005A4C7D">
        <w:rPr>
          <w:rFonts w:eastAsia="Arial"/>
        </w:rPr>
        <w:t>and</w:t>
      </w:r>
      <w:r w:rsidR="00137F8E" w:rsidRPr="005A4C7D">
        <w:rPr>
          <w:rFonts w:eastAsia="Arial"/>
          <w:lang w:val="en-US"/>
        </w:rPr>
        <w:t xml:space="preserve"> the free market </w:t>
      </w:r>
      <w:r w:rsidRPr="005A4C7D">
        <w:rPr>
          <w:rFonts w:eastAsia="Arial"/>
          <w:lang w:val="en-US"/>
        </w:rPr>
        <w:t xml:space="preserve">is better and more efficient in creating </w:t>
      </w:r>
      <w:r w:rsidR="00137F8E" w:rsidRPr="005A4C7D">
        <w:rPr>
          <w:rFonts w:eastAsia="Arial"/>
        </w:rPr>
        <w:t xml:space="preserve">employment </w:t>
      </w:r>
      <w:r w:rsidRPr="005A4C7D">
        <w:rPr>
          <w:rFonts w:eastAsia="Arial"/>
          <w:lang w:val="en-US"/>
        </w:rPr>
        <w:t xml:space="preserve">than </w:t>
      </w:r>
      <w:r w:rsidR="00137F8E" w:rsidRPr="005A4C7D">
        <w:rPr>
          <w:rFonts w:eastAsia="Arial"/>
        </w:rPr>
        <w:t>by politicians and bureaucrats as with ADB loans.</w:t>
      </w:r>
    </w:p>
    <w:p w14:paraId="118D16A7" w14:textId="77777777" w:rsidR="00137F8E" w:rsidRPr="005A4C7D" w:rsidRDefault="00137F8E" w:rsidP="00137F8E">
      <w:pPr>
        <w:shd w:val="clear" w:color="auto" w:fill="FFFFFF"/>
        <w:jc w:val="both"/>
        <w:rPr>
          <w:rFonts w:eastAsia="Arial"/>
        </w:rPr>
      </w:pPr>
    </w:p>
    <w:p w14:paraId="6CAABA3D" w14:textId="77777777" w:rsidR="00137F8E" w:rsidRPr="005A4C7D" w:rsidRDefault="00137F8E" w:rsidP="00137F8E">
      <w:pPr>
        <w:shd w:val="clear" w:color="auto" w:fill="FFFFFF"/>
        <w:jc w:val="both"/>
        <w:rPr>
          <w:rFonts w:eastAsia="Arial"/>
          <w:sz w:val="8"/>
          <w:szCs w:val="8"/>
        </w:rPr>
      </w:pPr>
    </w:p>
    <w:p w14:paraId="6CB7B17D" w14:textId="5E45E5C3" w:rsidR="00137F8E" w:rsidRPr="005A4C7D" w:rsidRDefault="00137F8E" w:rsidP="00137F8E">
      <w:pPr>
        <w:shd w:val="clear" w:color="auto" w:fill="FFFFFF"/>
        <w:spacing w:line="360" w:lineRule="auto"/>
        <w:jc w:val="both"/>
        <w:rPr>
          <w:rFonts w:eastAsia="Arial"/>
        </w:rPr>
      </w:pPr>
      <w:r w:rsidRPr="005A4C7D">
        <w:rPr>
          <w:rFonts w:eastAsia="Arial"/>
        </w:rPr>
        <w:t xml:space="preserve">Indonesia paid-in (in-cash) plus subscribed capitals (total about $8 billion) and guarantees (in-kind) to ADB which under banking practices </w:t>
      </w:r>
      <w:r w:rsidRPr="005A4C7D">
        <w:rPr>
          <w:rFonts w:eastAsia="Arial"/>
          <w:lang w:val="en-US"/>
        </w:rPr>
        <w:t>are</w:t>
      </w:r>
      <w:r w:rsidRPr="005A4C7D">
        <w:rPr>
          <w:rFonts w:eastAsia="Arial"/>
        </w:rPr>
        <w:t xml:space="preserve"> Promissory Notes (PNs) per Bill of Exchange 1882</w:t>
      </w:r>
      <w:r w:rsidR="0081742D">
        <w:rPr>
          <w:rFonts w:eastAsia="Arial"/>
          <w:lang w:val="en-US"/>
        </w:rPr>
        <w:t xml:space="preserve">. </w:t>
      </w:r>
      <w:r w:rsidR="0022121C">
        <w:rPr>
          <w:rFonts w:eastAsia="Arial"/>
          <w:lang w:val="en-US"/>
        </w:rPr>
        <w:t>T</w:t>
      </w:r>
      <w:r w:rsidRPr="005A4C7D">
        <w:rPr>
          <w:rFonts w:eastAsia="Arial"/>
        </w:rPr>
        <w:t>hus</w:t>
      </w:r>
      <w:r w:rsidR="00D24F38">
        <w:rPr>
          <w:rFonts w:eastAsia="Arial"/>
          <w:lang w:val="en-US"/>
        </w:rPr>
        <w:t>,</w:t>
      </w:r>
      <w:r w:rsidRPr="005A4C7D">
        <w:rPr>
          <w:rFonts w:eastAsia="Arial"/>
        </w:rPr>
        <w:t xml:space="preserve"> </w:t>
      </w:r>
      <w:r w:rsidR="0022121C">
        <w:rPr>
          <w:rFonts w:eastAsia="Arial"/>
          <w:lang w:val="en-US"/>
        </w:rPr>
        <w:t xml:space="preserve">they are </w:t>
      </w:r>
      <w:r w:rsidRPr="005A4C7D">
        <w:rPr>
          <w:rFonts w:eastAsia="Arial"/>
          <w:lang w:val="en-US"/>
        </w:rPr>
        <w:t xml:space="preserve">tradable </w:t>
      </w:r>
      <w:r w:rsidRPr="005A4C7D">
        <w:rPr>
          <w:rFonts w:eastAsia="Arial"/>
        </w:rPr>
        <w:t>as securities, leveraged as deposit</w:t>
      </w:r>
      <w:r w:rsidR="00802116">
        <w:rPr>
          <w:rFonts w:eastAsia="Arial"/>
        </w:rPr>
        <w:t>s</w:t>
      </w:r>
      <w:r w:rsidR="000104C5">
        <w:rPr>
          <w:rFonts w:eastAsia="Arial"/>
        </w:rPr>
        <w:t>,</w:t>
      </w:r>
      <w:r w:rsidRPr="005A4C7D">
        <w:rPr>
          <w:rFonts w:eastAsia="Arial"/>
        </w:rPr>
        <w:t xml:space="preserve"> or to create money</w:t>
      </w:r>
      <w:r w:rsidR="0081742D">
        <w:rPr>
          <w:rFonts w:eastAsia="Arial"/>
        </w:rPr>
        <w:t xml:space="preserve">. </w:t>
      </w:r>
      <w:r w:rsidRPr="005A4C7D">
        <w:rPr>
          <w:rFonts w:eastAsia="Arial"/>
        </w:rPr>
        <w:t>Each signed LA is a tradeable security and bank reserve (Nichols, 1992:11; Werner, 2016</w:t>
      </w:r>
      <w:r w:rsidR="00D24F38">
        <w:rPr>
          <w:rFonts w:eastAsia="Arial"/>
          <w:lang w:val="en-US"/>
        </w:rPr>
        <w:t>;</w:t>
      </w:r>
      <w:r w:rsidRPr="005A4C7D">
        <w:rPr>
          <w:rFonts w:eastAsia="Arial"/>
        </w:rPr>
        <w:t xml:space="preserve"> and IMF</w:t>
      </w:r>
      <w:r w:rsidR="00D24F38">
        <w:rPr>
          <w:rFonts w:eastAsia="Arial"/>
          <w:lang w:val="en-US"/>
        </w:rPr>
        <w:t xml:space="preserve">, </w:t>
      </w:r>
      <w:r w:rsidRPr="005A4C7D">
        <w:rPr>
          <w:rFonts w:eastAsia="Arial"/>
        </w:rPr>
        <w:t>Gross and Siebenbrunner, 2019)</w:t>
      </w:r>
      <w:r w:rsidR="00D24F38">
        <w:rPr>
          <w:rFonts w:eastAsia="Arial"/>
          <w:lang w:val="en-US"/>
        </w:rPr>
        <w:t>,</w:t>
      </w:r>
      <w:r w:rsidRPr="005A4C7D">
        <w:rPr>
          <w:rFonts w:eastAsia="Arial"/>
        </w:rPr>
        <w:t xml:space="preserve"> and adding to Indonesia’s securities to ADB. These </w:t>
      </w:r>
      <w:r w:rsidRPr="005A4C7D">
        <w:rPr>
          <w:rFonts w:eastAsia="Arial"/>
          <w:lang w:val="en-US"/>
        </w:rPr>
        <w:t xml:space="preserve">are leverage </w:t>
      </w:r>
      <w:r w:rsidRPr="005A4C7D">
        <w:rPr>
          <w:rFonts w:eastAsia="Arial"/>
        </w:rPr>
        <w:t>as 100% full loan-fund-disbursement collateral</w:t>
      </w:r>
      <w:r w:rsidR="0081742D">
        <w:rPr>
          <w:rFonts w:eastAsia="Arial"/>
        </w:rPr>
        <w:t xml:space="preserve">. </w:t>
      </w:r>
      <w:r w:rsidRPr="005A4C7D">
        <w:rPr>
          <w:rFonts w:eastAsia="Arial"/>
        </w:rPr>
        <w:t>Indonesia</w:t>
      </w:r>
      <w:r w:rsidR="00B6611F">
        <w:rPr>
          <w:rFonts w:eastAsia="Arial"/>
          <w:lang w:val="en-US"/>
        </w:rPr>
        <w:t xml:space="preserve"> has</w:t>
      </w:r>
      <w:r w:rsidRPr="005A4C7D">
        <w:rPr>
          <w:rFonts w:eastAsia="Arial"/>
        </w:rPr>
        <w:t xml:space="preserve"> </w:t>
      </w:r>
      <w:r w:rsidR="00C10AC1">
        <w:rPr>
          <w:rFonts w:eastAsia="Arial"/>
        </w:rPr>
        <w:t xml:space="preserve">a </w:t>
      </w:r>
      <w:r w:rsidRPr="005A4C7D">
        <w:rPr>
          <w:rFonts w:eastAsia="Arial"/>
        </w:rPr>
        <w:t>much larger disbursement capacity of 14</w:t>
      </w:r>
      <w:r w:rsidR="0081742D">
        <w:rPr>
          <w:rFonts w:eastAsia="Arial"/>
        </w:rPr>
        <w:t>%-GDP</w:t>
      </w:r>
      <w:r w:rsidRPr="005A4C7D">
        <w:rPr>
          <w:rFonts w:eastAsia="Arial"/>
        </w:rPr>
        <w:t xml:space="preserve"> compares with average ADB loans of 0.415</w:t>
      </w:r>
      <w:r w:rsidR="0081742D">
        <w:rPr>
          <w:rFonts w:eastAsia="Arial"/>
        </w:rPr>
        <w:t>%-GDP</w:t>
      </w:r>
      <w:r w:rsidRPr="005A4C7D">
        <w:rPr>
          <w:rFonts w:eastAsia="Arial"/>
        </w:rPr>
        <w:t xml:space="preserve"> or equivalent </w:t>
      </w:r>
      <w:r w:rsidR="00D43229" w:rsidRPr="005A4C7D">
        <w:rPr>
          <w:rFonts w:eastAsia="Arial"/>
        </w:rPr>
        <w:t>to</w:t>
      </w:r>
      <w:r w:rsidRPr="005A4C7D">
        <w:rPr>
          <w:rFonts w:eastAsia="Arial"/>
        </w:rPr>
        <w:t xml:space="preserve"> 0.1</w:t>
      </w:r>
      <w:r w:rsidR="0081742D">
        <w:rPr>
          <w:rFonts w:eastAsia="Arial"/>
        </w:rPr>
        <w:t>%-GDP</w:t>
      </w:r>
      <w:r w:rsidRPr="005A4C7D">
        <w:rPr>
          <w:rFonts w:eastAsia="Arial"/>
        </w:rPr>
        <w:t xml:space="preserve"> disbursement/year. Alternatively, if we use Appendix-A data on average ADB loans over Indonesia disbursement capacity, assuming ADB disburses 15%-20% per year, gives a ratio of 1:225 (1:169) being Indonesia having the much larger capacity (169-225 times per year) than ADB</w:t>
      </w:r>
      <w:r w:rsidR="0081742D">
        <w:rPr>
          <w:rFonts w:eastAsia="Arial"/>
        </w:rPr>
        <w:t xml:space="preserve">. </w:t>
      </w:r>
      <w:r w:rsidRPr="005A4C7D">
        <w:rPr>
          <w:rFonts w:eastAsia="Arial"/>
        </w:rPr>
        <w:t xml:space="preserve">Despite these, the ADB is asserting on controlling, thus </w:t>
      </w:r>
      <w:r w:rsidRPr="005A4C7D">
        <w:rPr>
          <w:rFonts w:eastAsia="Arial"/>
        </w:rPr>
        <w:lastRenderedPageBreak/>
        <w:t>delaying, the disbursement following its interpretation of its Charter, Article 14, and awkwardly Indonesia agrees. The Netherlands (or the Dutch) is one shareholder and a non-borrowing member of ADB.</w:t>
      </w:r>
    </w:p>
    <w:p w14:paraId="5E210803" w14:textId="77777777" w:rsidR="00137F8E" w:rsidRPr="005A4C7D" w:rsidRDefault="00137F8E" w:rsidP="00137F8E">
      <w:pPr>
        <w:keepNext/>
        <w:numPr>
          <w:ilvl w:val="0"/>
          <w:numId w:val="18"/>
        </w:numPr>
        <w:pBdr>
          <w:top w:val="nil"/>
          <w:left w:val="nil"/>
          <w:bottom w:val="nil"/>
          <w:right w:val="nil"/>
          <w:between w:val="nil"/>
        </w:pBdr>
        <w:spacing w:before="240" w:after="240" w:line="360" w:lineRule="auto"/>
        <w:ind w:left="426" w:hanging="426"/>
        <w:jc w:val="both"/>
        <w:rPr>
          <w:rFonts w:eastAsia="Arial"/>
        </w:rPr>
      </w:pPr>
      <w:r w:rsidRPr="005A4C7D">
        <w:rPr>
          <w:rFonts w:eastAsia="Arial"/>
          <w:b/>
        </w:rPr>
        <w:t>Theory and Hypothesis</w:t>
      </w:r>
    </w:p>
    <w:p w14:paraId="343D41D1" w14:textId="03A0BF35" w:rsidR="00137F8E" w:rsidRPr="005A4C7D" w:rsidRDefault="00137F8E" w:rsidP="00137F8E">
      <w:pPr>
        <w:keepNext/>
        <w:pBdr>
          <w:top w:val="nil"/>
          <w:left w:val="nil"/>
          <w:bottom w:val="nil"/>
          <w:right w:val="nil"/>
          <w:between w:val="nil"/>
        </w:pBdr>
        <w:spacing w:before="240" w:after="240" w:line="360" w:lineRule="auto"/>
        <w:jc w:val="both"/>
        <w:rPr>
          <w:rFonts w:eastAsia="Arial"/>
        </w:rPr>
      </w:pPr>
      <w:r w:rsidRPr="005A4C7D">
        <w:rPr>
          <w:rFonts w:eastAsia="Arial"/>
        </w:rPr>
        <w:t>Ibnu Khaldun, in the 14</w:t>
      </w:r>
      <w:r w:rsidRPr="005A4C7D">
        <w:rPr>
          <w:rFonts w:eastAsia="Arial"/>
          <w:vertAlign w:val="superscript"/>
        </w:rPr>
        <w:t>th</w:t>
      </w:r>
      <w:r w:rsidRPr="005A4C7D">
        <w:rPr>
          <w:rFonts w:eastAsia="Arial"/>
        </w:rPr>
        <w:t xml:space="preserve"> century predating all Nobel prize winners, warned that when the ruler (government) is not spending money, it is causing a shortage of capital. </w:t>
      </w:r>
      <w:r w:rsidRPr="005A4C7D">
        <w:rPr>
          <w:rFonts w:eastAsia="Arial"/>
          <w:i/>
          <w:color w:val="0000CC"/>
        </w:rPr>
        <w:t xml:space="preserve">“Now, if the ruler keeps it to himself </w:t>
      </w:r>
      <w:r w:rsidRPr="005A4C7D">
        <w:rPr>
          <w:rFonts w:eastAsia="Arial"/>
        </w:rPr>
        <w:t>[undisbursed]</w:t>
      </w:r>
      <w:r w:rsidRPr="005A4C7D">
        <w:rPr>
          <w:rFonts w:eastAsia="Arial"/>
          <w:i/>
          <w:color w:val="0000CC"/>
        </w:rPr>
        <w:t>, it is lost to the subjects</w:t>
      </w:r>
      <w:r w:rsidR="009B0554">
        <w:rPr>
          <w:rFonts w:eastAsia="Arial"/>
          <w:i/>
          <w:color w:val="0000CC"/>
          <w:lang w:val="en-US"/>
        </w:rPr>
        <w:t>.</w:t>
      </w:r>
      <w:r w:rsidRPr="005A4C7D">
        <w:rPr>
          <w:rFonts w:eastAsia="Arial"/>
          <w:i/>
          <w:color w:val="0000CC"/>
        </w:rPr>
        <w:t>”</w:t>
      </w:r>
      <w:r w:rsidRPr="005A4C7D">
        <w:rPr>
          <w:rFonts w:eastAsia="Arial"/>
        </w:rPr>
        <w:t xml:space="preserve"> (Khaldun, 1377:365)  Similarly, ADB loans if disburse</w:t>
      </w:r>
      <w:r w:rsidRPr="005A4C7D">
        <w:rPr>
          <w:rFonts w:eastAsia="Arial"/>
          <w:lang w:val="en-US"/>
        </w:rPr>
        <w:t xml:space="preserve">d </w:t>
      </w:r>
      <w:r w:rsidRPr="005A4C7D">
        <w:rPr>
          <w:rFonts w:eastAsia="Arial"/>
        </w:rPr>
        <w:t>in</w:t>
      </w:r>
      <w:r w:rsidRPr="005A4C7D">
        <w:rPr>
          <w:rFonts w:eastAsia="Arial"/>
          <w:lang w:val="en-US"/>
        </w:rPr>
        <w:t>to</w:t>
      </w:r>
      <w:r w:rsidRPr="005A4C7D">
        <w:rPr>
          <w:rFonts w:eastAsia="Arial"/>
        </w:rPr>
        <w:t xml:space="preserve"> Indonesia</w:t>
      </w:r>
      <w:r w:rsidRPr="005A4C7D">
        <w:rPr>
          <w:rFonts w:eastAsia="Arial"/>
          <w:lang w:val="en-US"/>
        </w:rPr>
        <w:t>,</w:t>
      </w:r>
      <w:r w:rsidRPr="005A4C7D">
        <w:rPr>
          <w:rFonts w:eastAsia="Arial"/>
        </w:rPr>
        <w:t xml:space="preserve"> correlate to capitals, greens, and fertile soils (Khaldun, 1377)</w:t>
      </w:r>
      <w:r w:rsidR="0081742D">
        <w:rPr>
          <w:rFonts w:eastAsia="Arial"/>
        </w:rPr>
        <w:t xml:space="preserve">. </w:t>
      </w:r>
      <w:r w:rsidRPr="005A4C7D">
        <w:rPr>
          <w:rFonts w:eastAsia="Arial"/>
        </w:rPr>
        <w:t>Hence, while the ADB loan funds remain undisbursed, it is a loss to Indonesia.</w:t>
      </w:r>
    </w:p>
    <w:p w14:paraId="2D12C9E4" w14:textId="77777777" w:rsidR="00137F8E" w:rsidRPr="005A4C7D" w:rsidRDefault="00137F8E" w:rsidP="00137F8E">
      <w:pPr>
        <w:keepNext/>
        <w:pBdr>
          <w:top w:val="nil"/>
          <w:left w:val="nil"/>
          <w:bottom w:val="nil"/>
          <w:right w:val="nil"/>
          <w:between w:val="nil"/>
        </w:pBdr>
        <w:spacing w:before="240" w:after="240" w:line="360" w:lineRule="auto"/>
        <w:jc w:val="both"/>
        <w:rPr>
          <w:rFonts w:eastAsia="Arial"/>
        </w:rPr>
      </w:pPr>
    </w:p>
    <w:p w14:paraId="44D7F6EF" w14:textId="77777777" w:rsidR="00137F8E" w:rsidRPr="005A4C7D" w:rsidRDefault="00137F8E" w:rsidP="00137F8E">
      <w:pPr>
        <w:spacing w:before="120" w:after="120" w:line="360" w:lineRule="auto"/>
        <w:rPr>
          <w:rFonts w:eastAsia="Arial"/>
          <w:b/>
          <w:sz w:val="28"/>
          <w:szCs w:val="28"/>
        </w:rPr>
      </w:pPr>
      <w:r w:rsidRPr="005A4C7D">
        <w:rPr>
          <w:rFonts w:eastAsia="Arial"/>
          <w:b/>
          <w:sz w:val="28"/>
          <w:szCs w:val="28"/>
        </w:rPr>
        <w:t>LITERATURE REVIEW</w:t>
      </w:r>
    </w:p>
    <w:p w14:paraId="2C291720" w14:textId="77777777" w:rsidR="00137F8E" w:rsidRPr="005A4C7D" w:rsidRDefault="00137F8E" w:rsidP="00137F8E">
      <w:pPr>
        <w:keepNext/>
        <w:numPr>
          <w:ilvl w:val="0"/>
          <w:numId w:val="18"/>
        </w:numPr>
        <w:pBdr>
          <w:top w:val="nil"/>
          <w:left w:val="nil"/>
          <w:bottom w:val="nil"/>
          <w:right w:val="nil"/>
          <w:between w:val="nil"/>
        </w:pBdr>
        <w:spacing w:before="240" w:after="240" w:line="360" w:lineRule="auto"/>
        <w:ind w:left="426" w:hanging="426"/>
        <w:jc w:val="both"/>
        <w:rPr>
          <w:rFonts w:eastAsia="Arial"/>
        </w:rPr>
      </w:pPr>
      <w:r w:rsidRPr="005A4C7D">
        <w:rPr>
          <w:rFonts w:eastAsia="Arial"/>
          <w:b/>
        </w:rPr>
        <w:t>Aid volatility, growth, and unemployment</w:t>
      </w:r>
    </w:p>
    <w:p w14:paraId="3F68FA78" w14:textId="69A9B4C1" w:rsidR="00137F8E" w:rsidRPr="005A4C7D" w:rsidRDefault="00137F8E" w:rsidP="00137F8E">
      <w:pPr>
        <w:spacing w:line="360" w:lineRule="auto"/>
        <w:jc w:val="both"/>
        <w:rPr>
          <w:rFonts w:eastAsia="Arial"/>
        </w:rPr>
      </w:pPr>
      <w:r w:rsidRPr="005A4C7D">
        <w:rPr>
          <w:rFonts w:eastAsia="Arial"/>
        </w:rPr>
        <w:t>The United Nations has expressed that unemployment and underemployment are the major cause</w:t>
      </w:r>
      <w:r w:rsidRPr="005A4C7D">
        <w:rPr>
          <w:rFonts w:eastAsia="Arial"/>
          <w:lang w:val="en-US"/>
        </w:rPr>
        <w:t>s</w:t>
      </w:r>
      <w:r w:rsidRPr="005A4C7D">
        <w:rPr>
          <w:rFonts w:eastAsia="Arial"/>
        </w:rPr>
        <w:t xml:space="preserve"> of poverty (UN, 2012:3-4). However, there is worryingly scarce literature that deals with the aid nexus with unemployment. This is most probably because of the preferred linkages between aid and employment when the literature is discussing growth</w:t>
      </w:r>
      <w:r w:rsidR="0081742D">
        <w:rPr>
          <w:rFonts w:eastAsia="Arial"/>
        </w:rPr>
        <w:t xml:space="preserve">. </w:t>
      </w:r>
      <w:r w:rsidRPr="005A4C7D">
        <w:rPr>
          <w:rFonts w:eastAsia="Arial"/>
        </w:rPr>
        <w:t>In 2009, the IMF identified that the right</w:t>
      </w:r>
      <w:r w:rsidR="00FE26D1">
        <w:rPr>
          <w:rFonts w:eastAsia="Arial"/>
          <w:lang w:val="en-US"/>
        </w:rPr>
        <w:t xml:space="preserve"> </w:t>
      </w:r>
      <w:r w:rsidR="009B0554">
        <w:rPr>
          <w:rFonts w:eastAsia="Arial"/>
          <w:lang w:val="en-US"/>
        </w:rPr>
        <w:t>type</w:t>
      </w:r>
      <w:r w:rsidRPr="005A4C7D">
        <w:rPr>
          <w:rFonts w:eastAsia="Arial"/>
        </w:rPr>
        <w:t xml:space="preserve"> of development aid has a positive impact on long-running economic growth (Minoiu and Reddy, 2009:6</w:t>
      </w:r>
      <w:r w:rsidR="00106913">
        <w:rPr>
          <w:rFonts w:eastAsia="Arial"/>
        </w:rPr>
        <w:t xml:space="preserve">) </w:t>
      </w:r>
      <w:r w:rsidRPr="005A4C7D">
        <w:rPr>
          <w:rFonts w:eastAsia="Arial"/>
          <w:vertAlign w:val="superscript"/>
        </w:rPr>
        <w:footnoteReference w:id="4"/>
      </w:r>
      <w:r w:rsidRPr="005A4C7D">
        <w:rPr>
          <w:rFonts w:eastAsia="Arial"/>
        </w:rPr>
        <w:t>. However, their most recent study discovered that there is no robust evidence that aid increases growth (Dreher and Lohmann, 2015:5) and job creation</w:t>
      </w:r>
      <w:r w:rsidR="0081742D">
        <w:rPr>
          <w:rFonts w:eastAsia="Arial"/>
        </w:rPr>
        <w:t xml:space="preserve">. </w:t>
      </w:r>
      <w:r w:rsidRPr="005A4C7D">
        <w:rPr>
          <w:rFonts w:eastAsia="Arial"/>
        </w:rPr>
        <w:t>Despite development aid initiatives being established in the 1940s, the linkage between aid volatility, effectiveness, and growth was long neglected by scholars (Bulíř and Hamann, 2006:4; Diarra, 2011:1)</w:t>
      </w:r>
      <w:r w:rsidR="0081742D">
        <w:rPr>
          <w:rFonts w:eastAsia="Arial"/>
        </w:rPr>
        <w:t xml:space="preserve">. </w:t>
      </w:r>
    </w:p>
    <w:p w14:paraId="395DB140" w14:textId="77777777" w:rsidR="00137F8E" w:rsidRPr="005A4C7D" w:rsidRDefault="00137F8E" w:rsidP="00137F8E">
      <w:pPr>
        <w:spacing w:line="360" w:lineRule="auto"/>
        <w:jc w:val="both"/>
        <w:rPr>
          <w:rFonts w:eastAsia="Arial"/>
        </w:rPr>
      </w:pPr>
    </w:p>
    <w:p w14:paraId="5A65AE0E" w14:textId="60C144E9" w:rsidR="00137F8E" w:rsidRPr="005A4C7D" w:rsidRDefault="00137F8E" w:rsidP="00137F8E">
      <w:pPr>
        <w:spacing w:line="360" w:lineRule="auto"/>
        <w:jc w:val="both"/>
        <w:rPr>
          <w:rFonts w:eastAsia="Arial"/>
        </w:rPr>
      </w:pPr>
      <w:r w:rsidRPr="005A4C7D">
        <w:rPr>
          <w:rFonts w:eastAsia="Arial"/>
        </w:rPr>
        <w:t xml:space="preserve">Over the past 40 years, significant evidence shows that aid volatility has had a severe negative impact on growth, but little </w:t>
      </w:r>
      <w:r w:rsidRPr="005A4C7D">
        <w:rPr>
          <w:rFonts w:eastAsia="Arial"/>
          <w:lang w:val="en-US"/>
        </w:rPr>
        <w:t>knowledge</w:t>
      </w:r>
      <w:r w:rsidRPr="005A4C7D">
        <w:rPr>
          <w:rFonts w:eastAsia="Arial"/>
        </w:rPr>
        <w:t xml:space="preserve"> about their </w:t>
      </w:r>
      <w:r w:rsidR="009B0554">
        <w:rPr>
          <w:rFonts w:eastAsia="Arial"/>
        </w:rPr>
        <w:t>primary sources</w:t>
      </w:r>
      <w:r w:rsidRPr="005A4C7D">
        <w:rPr>
          <w:rFonts w:eastAsia="Arial"/>
        </w:rPr>
        <w:t xml:space="preserve"> (Desai and Kharas, 2010:1) and on their nexus with employment creation</w:t>
      </w:r>
      <w:r w:rsidR="0081742D">
        <w:rPr>
          <w:rFonts w:eastAsia="Arial"/>
          <w:lang w:val="en-US"/>
        </w:rPr>
        <w:t xml:space="preserve">. </w:t>
      </w:r>
      <w:r w:rsidR="004E2E0B">
        <w:rPr>
          <w:rFonts w:eastAsia="Arial"/>
          <w:lang w:val="en-US"/>
        </w:rPr>
        <w:t>D</w:t>
      </w:r>
      <w:r w:rsidRPr="005A4C7D">
        <w:rPr>
          <w:rFonts w:eastAsia="Arial"/>
        </w:rPr>
        <w:t>espite the mainstreamed putative aid theory of growth promotion, job creation</w:t>
      </w:r>
      <w:r w:rsidR="000104C5">
        <w:rPr>
          <w:rFonts w:eastAsia="Arial"/>
        </w:rPr>
        <w:t>,</w:t>
      </w:r>
      <w:r w:rsidRPr="005A4C7D">
        <w:rPr>
          <w:rFonts w:eastAsia="Arial"/>
        </w:rPr>
        <w:t xml:space="preserve"> and poverty eradication</w:t>
      </w:r>
      <w:r w:rsidR="0081742D">
        <w:rPr>
          <w:rFonts w:eastAsia="Arial"/>
        </w:rPr>
        <w:t xml:space="preserve">. </w:t>
      </w:r>
      <w:r w:rsidRPr="005A4C7D">
        <w:rPr>
          <w:rFonts w:eastAsia="Arial"/>
        </w:rPr>
        <w:t xml:space="preserve">Desai and Kharas (2010) identified loan disbursement delays as a source of aid unpredictability, which impairs aid recipients </w:t>
      </w:r>
      <w:r w:rsidRPr="005A4C7D">
        <w:rPr>
          <w:rFonts w:eastAsia="Arial"/>
        </w:rPr>
        <w:lastRenderedPageBreak/>
        <w:t>through rising financial costs (see also ADB 2011:26 on cost increases)</w:t>
      </w:r>
      <w:r w:rsidR="0081742D">
        <w:rPr>
          <w:rFonts w:eastAsia="Arial"/>
          <w:lang w:val="en-US"/>
        </w:rPr>
        <w:t xml:space="preserve">. </w:t>
      </w:r>
      <w:r w:rsidR="009B0554">
        <w:rPr>
          <w:rFonts w:eastAsia="Arial"/>
          <w:lang w:val="en-US"/>
        </w:rPr>
        <w:t>It</w:t>
      </w:r>
      <w:r w:rsidR="002F3438">
        <w:rPr>
          <w:rFonts w:eastAsia="Arial"/>
          <w:lang w:val="en-US"/>
        </w:rPr>
        <w:t xml:space="preserve"> </w:t>
      </w:r>
      <w:r w:rsidRPr="005A4C7D">
        <w:rPr>
          <w:rFonts w:eastAsia="Arial"/>
        </w:rPr>
        <w:t>slashes investments and reduces welfare</w:t>
      </w:r>
      <w:r w:rsidR="000104C5">
        <w:rPr>
          <w:rFonts w:eastAsia="Arial"/>
        </w:rPr>
        <w:t>,</w:t>
      </w:r>
      <w:r w:rsidRPr="005A4C7D">
        <w:rPr>
          <w:rFonts w:eastAsia="Arial"/>
        </w:rPr>
        <w:t xml:space="preserve"> hence affects growth and employment levels. Kharas (2008:9) exhibits that disbursement volatility has massive negative shocks on growth and national income similar to those experienced by developed countries during the two World Wars and the Great Depression</w:t>
      </w:r>
      <w:r w:rsidR="0081742D">
        <w:rPr>
          <w:rFonts w:eastAsia="Arial"/>
        </w:rPr>
        <w:t xml:space="preserve">. </w:t>
      </w:r>
    </w:p>
    <w:p w14:paraId="09D325B5" w14:textId="77777777" w:rsidR="00137F8E" w:rsidRPr="005A4C7D" w:rsidRDefault="00137F8E" w:rsidP="00137F8E">
      <w:pPr>
        <w:spacing w:line="360" w:lineRule="auto"/>
        <w:jc w:val="both"/>
        <w:rPr>
          <w:rFonts w:eastAsia="Arial"/>
        </w:rPr>
      </w:pPr>
    </w:p>
    <w:p w14:paraId="045A4356" w14:textId="7C52C088" w:rsidR="00137F8E" w:rsidRPr="005A4C7D" w:rsidRDefault="00137F8E" w:rsidP="00137F8E">
      <w:pPr>
        <w:spacing w:line="360" w:lineRule="auto"/>
        <w:jc w:val="both"/>
        <w:rPr>
          <w:rFonts w:eastAsia="Arial"/>
        </w:rPr>
      </w:pPr>
      <w:r w:rsidRPr="005A4C7D">
        <w:rPr>
          <w:rFonts w:eastAsia="Arial"/>
        </w:rPr>
        <w:t xml:space="preserve">Fauzi and Ingratubun (2020) discover that ADB loans have very little to no positive impacts on </w:t>
      </w:r>
      <w:r w:rsidR="00C10AC1">
        <w:rPr>
          <w:rFonts w:eastAsia="Arial"/>
        </w:rPr>
        <w:t xml:space="preserve">the </w:t>
      </w:r>
      <w:r w:rsidRPr="005A4C7D">
        <w:rPr>
          <w:rFonts w:eastAsia="Arial"/>
        </w:rPr>
        <w:t>economic growth</w:t>
      </w:r>
      <w:r w:rsidR="00C10AC1">
        <w:rPr>
          <w:rFonts w:eastAsia="Arial"/>
          <w:lang w:val="en-US"/>
        </w:rPr>
        <w:t xml:space="preserve"> of Indonesia</w:t>
      </w:r>
      <w:r w:rsidRPr="005A4C7D">
        <w:rPr>
          <w:rFonts w:eastAsia="Arial"/>
        </w:rPr>
        <w:t xml:space="preserve"> but cause negative growth (Figure-3) or act as a hand-brake for accelerating growth</w:t>
      </w:r>
      <w:r w:rsidR="0081742D">
        <w:rPr>
          <w:rFonts w:eastAsia="Arial"/>
        </w:rPr>
        <w:t xml:space="preserve">. </w:t>
      </w:r>
      <w:r w:rsidRPr="005A4C7D">
        <w:rPr>
          <w:rFonts w:eastAsia="Arial"/>
        </w:rPr>
        <w:t xml:space="preserve">They show that </w:t>
      </w:r>
      <w:r w:rsidRPr="005A4C7D">
        <w:rPr>
          <w:rFonts w:eastAsia="Arial"/>
          <w:lang w:val="en-US"/>
        </w:rPr>
        <w:t>over 10 folds of Indonesia’s capital per one dollar loan fund being delayed are capital flights</w:t>
      </w:r>
      <w:r w:rsidR="0081742D">
        <w:rPr>
          <w:rFonts w:eastAsia="Arial"/>
          <w:lang w:val="en-US"/>
        </w:rPr>
        <w:t xml:space="preserve">. </w:t>
      </w:r>
      <w:r w:rsidR="0022121C">
        <w:rPr>
          <w:rFonts w:eastAsia="Arial"/>
          <w:lang w:val="en-US"/>
        </w:rPr>
        <w:t>These</w:t>
      </w:r>
      <w:r w:rsidRPr="005A4C7D">
        <w:rPr>
          <w:rFonts w:eastAsia="Arial"/>
          <w:lang w:val="en-US"/>
        </w:rPr>
        <w:t xml:space="preserve"> are benefiting the </w:t>
      </w:r>
      <w:r w:rsidRPr="005A4C7D">
        <w:rPr>
          <w:rFonts w:eastAsia="Arial"/>
        </w:rPr>
        <w:t xml:space="preserve">economic growth </w:t>
      </w:r>
      <w:r w:rsidRPr="005A4C7D">
        <w:rPr>
          <w:rFonts w:eastAsia="Arial"/>
          <w:lang w:val="en-US"/>
        </w:rPr>
        <w:t>of the</w:t>
      </w:r>
      <w:r w:rsidRPr="005A4C7D">
        <w:rPr>
          <w:rFonts w:eastAsia="Arial"/>
        </w:rPr>
        <w:t xml:space="preserve"> countries where</w:t>
      </w:r>
      <w:r w:rsidRPr="005A4C7D">
        <w:rPr>
          <w:rFonts w:eastAsia="Arial"/>
          <w:lang w:val="en-US"/>
        </w:rPr>
        <w:t xml:space="preserve"> ADB keeps</w:t>
      </w:r>
      <w:r w:rsidRPr="005A4C7D">
        <w:rPr>
          <w:rFonts w:eastAsia="Arial"/>
        </w:rPr>
        <w:t xml:space="preserve"> Indonesia loan funds</w:t>
      </w:r>
      <w:r w:rsidRPr="005A4C7D">
        <w:rPr>
          <w:rFonts w:eastAsia="Arial"/>
          <w:lang w:val="en-US"/>
        </w:rPr>
        <w:t xml:space="preserve">, </w:t>
      </w:r>
      <w:r w:rsidRPr="005A4C7D">
        <w:rPr>
          <w:rFonts w:eastAsia="Arial"/>
        </w:rPr>
        <w:t>hence decelerates Indonesia</w:t>
      </w:r>
      <w:r w:rsidR="00B5685E" w:rsidRPr="005A4C7D">
        <w:rPr>
          <w:rFonts w:eastAsia="Arial"/>
        </w:rPr>
        <w:t>’</w:t>
      </w:r>
      <w:r w:rsidRPr="005A4C7D">
        <w:rPr>
          <w:rFonts w:eastAsia="Arial"/>
        </w:rPr>
        <w:t>s growth</w:t>
      </w:r>
      <w:r w:rsidR="0081742D">
        <w:rPr>
          <w:rFonts w:eastAsia="Arial"/>
        </w:rPr>
        <w:t xml:space="preserve">. </w:t>
      </w:r>
      <w:r w:rsidRPr="005A4C7D">
        <w:rPr>
          <w:rFonts w:eastAsia="Arial"/>
          <w:lang w:val="en-US"/>
        </w:rPr>
        <w:t>We</w:t>
      </w:r>
      <w:r w:rsidRPr="005A4C7D">
        <w:rPr>
          <w:rFonts w:eastAsia="Arial"/>
        </w:rPr>
        <w:t xml:space="preserve"> </w:t>
      </w:r>
      <w:r w:rsidRPr="005A4C7D">
        <w:rPr>
          <w:rFonts w:eastAsia="Arial"/>
          <w:lang w:val="en-US"/>
        </w:rPr>
        <w:t>t</w:t>
      </w:r>
      <w:r w:rsidRPr="005A4C7D">
        <w:rPr>
          <w:rFonts w:eastAsia="Arial"/>
        </w:rPr>
        <w:t xml:space="preserve">ranslate this as the Dutch curse at work in which despite the money (or capital) being present, Indonesia cannot use it—but others can—and even suffered capital flight. </w:t>
      </w:r>
    </w:p>
    <w:p w14:paraId="15D5DEA9" w14:textId="77777777" w:rsidR="00137F8E" w:rsidRPr="005A4C7D" w:rsidRDefault="00137F8E" w:rsidP="00137F8E">
      <w:pPr>
        <w:keepNext/>
        <w:numPr>
          <w:ilvl w:val="0"/>
          <w:numId w:val="18"/>
        </w:numPr>
        <w:pBdr>
          <w:top w:val="nil"/>
          <w:left w:val="nil"/>
          <w:bottom w:val="nil"/>
          <w:right w:val="nil"/>
          <w:between w:val="nil"/>
        </w:pBdr>
        <w:spacing w:before="240" w:after="240" w:line="360" w:lineRule="auto"/>
        <w:ind w:left="426" w:hanging="426"/>
        <w:jc w:val="both"/>
        <w:rPr>
          <w:rFonts w:eastAsia="Arial"/>
        </w:rPr>
      </w:pPr>
      <w:r w:rsidRPr="005A4C7D">
        <w:rPr>
          <w:rFonts w:eastAsia="Arial"/>
          <w:b/>
        </w:rPr>
        <w:t>The impact of disbursement volatility</w:t>
      </w:r>
    </w:p>
    <w:p w14:paraId="48CBB783" w14:textId="465A43D5" w:rsidR="00137F8E" w:rsidRPr="005A4C7D" w:rsidRDefault="00137F8E" w:rsidP="00137F8E">
      <w:pPr>
        <w:spacing w:line="360" w:lineRule="auto"/>
        <w:jc w:val="both"/>
        <w:rPr>
          <w:rFonts w:eastAsia="Arial"/>
        </w:rPr>
      </w:pPr>
      <w:r w:rsidRPr="005A4C7D">
        <w:rPr>
          <w:rFonts w:eastAsia="Arial"/>
        </w:rPr>
        <w:t>Aldashev and Verardi (2012:3-4) show that doubling aid volatility causes a fall in average GDP growth by two-thirds (67%)</w:t>
      </w:r>
      <w:r w:rsidR="0081742D">
        <w:rPr>
          <w:rFonts w:eastAsia="Arial"/>
        </w:rPr>
        <w:t xml:space="preserve">. </w:t>
      </w:r>
      <w:r w:rsidRPr="005A4C7D">
        <w:rPr>
          <w:rFonts w:eastAsia="Arial"/>
        </w:rPr>
        <w:t>Using return per $1 aid invested and disbursed by donors as a measure of volatility, this shows a range of 15%-2400% (</w:t>
      </w:r>
      <w:r w:rsidR="00D43229" w:rsidRPr="005A4C7D">
        <w:rPr>
          <w:rFonts w:eastAsia="Arial"/>
        </w:rPr>
        <w:t>Je</w:t>
      </w:r>
      <w:r w:rsidR="00D43229" w:rsidRPr="005A4C7D">
        <w:rPr>
          <w:rFonts w:eastAsia="Arial"/>
          <w:lang w:val="en-US"/>
        </w:rPr>
        <w:t>p</w:t>
      </w:r>
      <w:r w:rsidR="00D43229" w:rsidRPr="005A4C7D">
        <w:rPr>
          <w:rFonts w:eastAsia="Arial"/>
        </w:rPr>
        <w:t>ma</w:t>
      </w:r>
      <w:r w:rsidRPr="005A4C7D">
        <w:rPr>
          <w:rFonts w:eastAsia="Arial"/>
        </w:rPr>
        <w:t xml:space="preserve">, 1991; Andrews and Wilhelm, 2008; GFI et al., 2015; ANU, 2017; Lotti and Presbitero, 2019; Hickel, 2019; and Fauzi and Ingratubun, 2020). The </w:t>
      </w:r>
      <w:r w:rsidR="00D43229" w:rsidRPr="005A4C7D">
        <w:rPr>
          <w:rFonts w:eastAsia="Arial"/>
        </w:rPr>
        <w:t>U.S.</w:t>
      </w:r>
      <w:r w:rsidRPr="005A4C7D">
        <w:rPr>
          <w:rFonts w:eastAsia="Arial"/>
        </w:rPr>
        <w:t xml:space="preserve"> Congress (1968a:280) record relating to 1969 budget appropriation for the ADB registers</w:t>
      </w:r>
      <w:r w:rsidR="009B0554">
        <w:rPr>
          <w:rFonts w:eastAsia="Arial"/>
          <w:lang w:val="en-US"/>
        </w:rPr>
        <w:t xml:space="preserve"> that</w:t>
      </w:r>
      <w:r w:rsidRPr="005A4C7D">
        <w:rPr>
          <w:rFonts w:eastAsia="Arial"/>
        </w:rPr>
        <w:t xml:space="preserve"> </w:t>
      </w:r>
      <w:r w:rsidR="00B5685E" w:rsidRPr="005A4C7D">
        <w:rPr>
          <w:rFonts w:eastAsia="Arial"/>
          <w:i/>
          <w:color w:val="0000CC"/>
        </w:rPr>
        <w:t>“</w:t>
      </w:r>
      <w:r w:rsidRPr="005A4C7D">
        <w:rPr>
          <w:rFonts w:eastAsia="Arial"/>
          <w:i/>
          <w:color w:val="0000CC"/>
        </w:rPr>
        <w:t xml:space="preserve">we find that many of the members </w:t>
      </w:r>
      <w:r w:rsidR="00106913">
        <w:rPr>
          <w:rFonts w:eastAsia="Arial"/>
          <w:i/>
          <w:color w:val="0000CC"/>
        </w:rPr>
        <w:t>...</w:t>
      </w:r>
      <w:r w:rsidRPr="005A4C7D">
        <w:rPr>
          <w:rFonts w:eastAsia="Arial"/>
          <w:i/>
          <w:color w:val="0000CC"/>
        </w:rPr>
        <w:t xml:space="preserve"> put in $1 and get out $7</w:t>
      </w:r>
      <w:r w:rsidRPr="005A4C7D">
        <w:rPr>
          <w:rFonts w:eastAsia="Arial"/>
        </w:rPr>
        <w:t xml:space="preserve"> [or 700%]</w:t>
      </w:r>
      <w:r w:rsidRPr="005A4C7D">
        <w:rPr>
          <w:rFonts w:eastAsia="Arial"/>
          <w:i/>
          <w:color w:val="0000CC"/>
        </w:rPr>
        <w:t>.</w:t>
      </w:r>
      <w:r w:rsidR="00B5685E" w:rsidRPr="005A4C7D">
        <w:rPr>
          <w:rFonts w:eastAsia="Arial"/>
          <w:i/>
          <w:color w:val="0000CC"/>
        </w:rPr>
        <w:t>”</w:t>
      </w:r>
      <w:r w:rsidRPr="005A4C7D">
        <w:rPr>
          <w:rFonts w:eastAsia="Arial"/>
          <w:i/>
          <w:color w:val="0000CC"/>
        </w:rPr>
        <w:t xml:space="preserve">  </w:t>
      </w:r>
      <w:r w:rsidRPr="005A4C7D">
        <w:rPr>
          <w:rFonts w:eastAsia="Arial"/>
        </w:rPr>
        <w:t>For paying interest alone it consumes 0.8</w:t>
      </w:r>
      <w:r w:rsidR="0081742D">
        <w:rPr>
          <w:rFonts w:eastAsia="Arial"/>
        </w:rPr>
        <w:t>%-GDP</w:t>
      </w:r>
      <w:r w:rsidRPr="005A4C7D">
        <w:rPr>
          <w:rFonts w:eastAsia="Arial"/>
        </w:rPr>
        <w:t xml:space="preserve"> and total capital flights are 7.6</w:t>
      </w:r>
      <w:r w:rsidR="0081742D">
        <w:rPr>
          <w:rFonts w:eastAsia="Arial"/>
        </w:rPr>
        <w:t>%-GDP</w:t>
      </w:r>
      <w:r w:rsidRPr="005A4C7D">
        <w:rPr>
          <w:rFonts w:eastAsia="Arial"/>
        </w:rPr>
        <w:t xml:space="preserve"> (Griffiths, 2014)</w:t>
      </w:r>
      <w:r w:rsidRPr="005A4C7D">
        <w:rPr>
          <w:rFonts w:eastAsia="Arial"/>
          <w:vertAlign w:val="superscript"/>
        </w:rPr>
        <w:footnoteReference w:id="5"/>
      </w:r>
      <w:r w:rsidRPr="005A4C7D">
        <w:rPr>
          <w:rFonts w:eastAsia="Arial"/>
        </w:rPr>
        <w:t>.</w:t>
      </w:r>
    </w:p>
    <w:p w14:paraId="4A4BE652" w14:textId="77777777" w:rsidR="00137F8E" w:rsidRPr="005A4C7D" w:rsidRDefault="00137F8E" w:rsidP="00137F8E">
      <w:pPr>
        <w:keepNext/>
        <w:numPr>
          <w:ilvl w:val="0"/>
          <w:numId w:val="18"/>
        </w:numPr>
        <w:pBdr>
          <w:top w:val="nil"/>
          <w:left w:val="nil"/>
          <w:bottom w:val="nil"/>
          <w:right w:val="nil"/>
          <w:between w:val="nil"/>
        </w:pBdr>
        <w:spacing w:before="240" w:after="240" w:line="360" w:lineRule="auto"/>
        <w:ind w:left="426" w:hanging="426"/>
        <w:jc w:val="both"/>
        <w:rPr>
          <w:rFonts w:eastAsia="Arial"/>
        </w:rPr>
      </w:pPr>
      <w:r w:rsidRPr="005A4C7D">
        <w:rPr>
          <w:rFonts w:eastAsia="Arial"/>
          <w:b/>
        </w:rPr>
        <w:t>Capital Endogenization</w:t>
      </w:r>
    </w:p>
    <w:p w14:paraId="5CCFA770" w14:textId="22FDA714" w:rsidR="00137F8E" w:rsidRPr="005A4C7D" w:rsidRDefault="00137F8E" w:rsidP="00137F8E">
      <w:pPr>
        <w:shd w:val="clear" w:color="auto" w:fill="FFFFFF"/>
        <w:spacing w:line="360" w:lineRule="auto"/>
        <w:jc w:val="both"/>
        <w:rPr>
          <w:rFonts w:eastAsia="Arial"/>
        </w:rPr>
      </w:pPr>
      <w:r w:rsidRPr="005A4C7D">
        <w:rPr>
          <w:rFonts w:eastAsia="Arial"/>
        </w:rPr>
        <w:t xml:space="preserve">Interest earned on ADB undisbursed loan amounts and fees incurred are </w:t>
      </w:r>
      <w:r w:rsidR="00B6611F">
        <w:rPr>
          <w:rFonts w:eastAsia="Arial"/>
          <w:lang w:val="en-US"/>
        </w:rPr>
        <w:t xml:space="preserve">profits for the </w:t>
      </w:r>
      <w:r w:rsidRPr="005A4C7D">
        <w:rPr>
          <w:rFonts w:eastAsia="Arial"/>
        </w:rPr>
        <w:t>ADB and/or its private bank and not accounted</w:t>
      </w:r>
      <w:r w:rsidRPr="005A4C7D">
        <w:rPr>
          <w:rFonts w:eastAsia="Arial"/>
          <w:lang w:val="en-US"/>
        </w:rPr>
        <w:t xml:space="preserve"> for</w:t>
      </w:r>
      <w:r w:rsidRPr="005A4C7D">
        <w:rPr>
          <w:rFonts w:eastAsia="Arial"/>
        </w:rPr>
        <w:t xml:space="preserve"> as Indonesia’s national income (Paradox of profits).</w:t>
      </w:r>
      <w:r w:rsidRPr="005A4C7D">
        <w:rPr>
          <w:rFonts w:eastAsia="Arial"/>
          <w:lang w:val="en-US"/>
        </w:rPr>
        <w:t xml:space="preserve"> For monetizing t</w:t>
      </w:r>
      <w:r w:rsidRPr="005A4C7D">
        <w:rPr>
          <w:rFonts w:eastAsia="Arial"/>
        </w:rPr>
        <w:t>hose gains</w:t>
      </w:r>
      <w:r w:rsidRPr="005A4C7D">
        <w:rPr>
          <w:rFonts w:eastAsia="Arial"/>
          <w:lang w:val="en-US"/>
        </w:rPr>
        <w:t xml:space="preserve"> for </w:t>
      </w:r>
      <w:r w:rsidR="00B6611F">
        <w:rPr>
          <w:rFonts w:eastAsia="Arial"/>
          <w:lang w:val="en-US"/>
        </w:rPr>
        <w:t xml:space="preserve">the benefit of </w:t>
      </w:r>
      <w:r w:rsidRPr="005A4C7D">
        <w:rPr>
          <w:rFonts w:eastAsia="Arial"/>
          <w:lang w:val="en-US"/>
        </w:rPr>
        <w:t xml:space="preserve">Indonesia before endogenizing them, </w:t>
      </w:r>
      <w:r w:rsidR="00D43229" w:rsidRPr="005A4C7D">
        <w:rPr>
          <w:rFonts w:eastAsia="Arial"/>
          <w:lang w:val="en-US"/>
        </w:rPr>
        <w:t>we</w:t>
      </w:r>
      <w:r w:rsidRPr="005A4C7D">
        <w:rPr>
          <w:rFonts w:eastAsia="Arial"/>
        </w:rPr>
        <w:t xml:space="preserve"> </w:t>
      </w:r>
      <w:r w:rsidRPr="005A4C7D">
        <w:rPr>
          <w:rFonts w:eastAsia="Arial"/>
          <w:lang w:val="en-US"/>
        </w:rPr>
        <w:t xml:space="preserve">are </w:t>
      </w:r>
      <w:r w:rsidRPr="005A4C7D">
        <w:rPr>
          <w:rFonts w:eastAsia="Arial"/>
        </w:rPr>
        <w:t>consistently</w:t>
      </w:r>
      <w:r w:rsidRPr="005A4C7D">
        <w:rPr>
          <w:rFonts w:eastAsia="Arial"/>
          <w:lang w:val="en-US"/>
        </w:rPr>
        <w:t xml:space="preserve"> treat</w:t>
      </w:r>
      <w:r w:rsidR="008764F7" w:rsidRPr="005A4C7D">
        <w:rPr>
          <w:rFonts w:eastAsia="Arial"/>
          <w:lang w:val="en-US"/>
        </w:rPr>
        <w:t>ing</w:t>
      </w:r>
      <w:r w:rsidR="00D43229" w:rsidRPr="005A4C7D">
        <w:rPr>
          <w:rFonts w:eastAsia="Arial"/>
          <w:lang w:val="en-US"/>
        </w:rPr>
        <w:t xml:space="preserve"> them</w:t>
      </w:r>
      <w:r w:rsidRPr="005A4C7D">
        <w:rPr>
          <w:rFonts w:eastAsia="Arial"/>
        </w:rPr>
        <w:t xml:space="preserve"> as a source of capital (Zezza, 2011:15) for Indonesia. </w:t>
      </w:r>
      <w:r w:rsidRPr="005A4C7D">
        <w:rPr>
          <w:rFonts w:eastAsia="Arial"/>
          <w:lang w:val="en-US"/>
        </w:rPr>
        <w:t>C</w:t>
      </w:r>
      <w:r w:rsidRPr="005A4C7D">
        <w:rPr>
          <w:rFonts w:eastAsia="Arial"/>
        </w:rPr>
        <w:t>apital endogenization is common</w:t>
      </w:r>
      <w:r w:rsidRPr="005A4C7D">
        <w:rPr>
          <w:rFonts w:eastAsia="Arial"/>
          <w:lang w:val="en-US"/>
        </w:rPr>
        <w:t xml:space="preserve"> in </w:t>
      </w:r>
      <w:r w:rsidR="00B6611F">
        <w:rPr>
          <w:rFonts w:eastAsia="Arial"/>
          <w:lang w:val="en-US"/>
        </w:rPr>
        <w:t>assessing</w:t>
      </w:r>
      <w:r w:rsidRPr="005A4C7D">
        <w:rPr>
          <w:rFonts w:eastAsia="Arial"/>
        </w:rPr>
        <w:t xml:space="preserve"> regional economic wealth leakages (Rustiadi et al., 2018) and development sustainability (Fauzi, 2019).</w:t>
      </w:r>
    </w:p>
    <w:p w14:paraId="255750C0" w14:textId="77777777" w:rsidR="00137F8E" w:rsidRPr="005A4C7D" w:rsidRDefault="00137F8E" w:rsidP="00137F8E">
      <w:pPr>
        <w:keepNext/>
        <w:numPr>
          <w:ilvl w:val="0"/>
          <w:numId w:val="18"/>
        </w:numPr>
        <w:pBdr>
          <w:top w:val="nil"/>
          <w:left w:val="nil"/>
          <w:bottom w:val="nil"/>
          <w:right w:val="nil"/>
          <w:between w:val="nil"/>
        </w:pBdr>
        <w:spacing w:before="240" w:after="240" w:line="360" w:lineRule="auto"/>
        <w:ind w:left="426" w:hanging="426"/>
        <w:jc w:val="both"/>
        <w:rPr>
          <w:rFonts w:eastAsia="Arial"/>
        </w:rPr>
      </w:pPr>
      <w:r w:rsidRPr="005A4C7D">
        <w:rPr>
          <w:rFonts w:eastAsia="Arial"/>
          <w:b/>
        </w:rPr>
        <w:lastRenderedPageBreak/>
        <w:t xml:space="preserve">Foundation: Banking Theories, Practices and Governance </w:t>
      </w:r>
    </w:p>
    <w:p w14:paraId="21C1A028" w14:textId="7DE396E4" w:rsidR="00137F8E" w:rsidRPr="005A4C7D" w:rsidRDefault="00137F8E" w:rsidP="00137F8E">
      <w:pPr>
        <w:shd w:val="clear" w:color="auto" w:fill="FFFFFF"/>
        <w:spacing w:line="360" w:lineRule="auto"/>
        <w:jc w:val="both"/>
        <w:rPr>
          <w:rFonts w:eastAsia="Arial"/>
        </w:rPr>
      </w:pPr>
      <w:r w:rsidRPr="005A4C7D">
        <w:rPr>
          <w:rFonts w:eastAsia="Arial"/>
        </w:rPr>
        <w:t>Bourguignon and Sundberg (2007)</w:t>
      </w:r>
      <w:r w:rsidRPr="005A4C7D">
        <w:rPr>
          <w:rFonts w:eastAsia="Arial"/>
          <w:lang w:val="en-US"/>
        </w:rPr>
        <w:t>;</w:t>
      </w:r>
      <w:r w:rsidRPr="005A4C7D">
        <w:rPr>
          <w:rFonts w:eastAsia="Arial"/>
        </w:rPr>
        <w:t xml:space="preserve"> and Edwards (2014) have voiced the need to go beyond econometrics to open a </w:t>
      </w:r>
      <w:r w:rsidRPr="00B6611F">
        <w:rPr>
          <w:rFonts w:eastAsia="Arial"/>
          <w:i/>
          <w:iCs/>
        </w:rPr>
        <w:t>black box</w:t>
      </w:r>
      <w:r w:rsidRPr="005A4C7D">
        <w:rPr>
          <w:rFonts w:eastAsia="Arial"/>
        </w:rPr>
        <w:t xml:space="preserve"> of development aid</w:t>
      </w:r>
      <w:r w:rsidR="0081742D">
        <w:rPr>
          <w:rFonts w:eastAsia="Arial"/>
          <w:lang w:val="en-US"/>
        </w:rPr>
        <w:t xml:space="preserve">. </w:t>
      </w:r>
      <w:r w:rsidR="003D27A5">
        <w:rPr>
          <w:rFonts w:eastAsia="Arial"/>
          <w:lang w:val="en-US"/>
        </w:rPr>
        <w:t xml:space="preserve">This because </w:t>
      </w:r>
      <w:r w:rsidRPr="005A4C7D">
        <w:rPr>
          <w:rFonts w:eastAsia="Arial"/>
        </w:rPr>
        <w:t>a plethora of studies, including aid volatility, remain</w:t>
      </w:r>
      <w:r w:rsidR="000104C5">
        <w:rPr>
          <w:rFonts w:eastAsia="Arial"/>
        </w:rPr>
        <w:t>s</w:t>
      </w:r>
      <w:r w:rsidRPr="005A4C7D">
        <w:rPr>
          <w:rFonts w:eastAsia="Arial"/>
        </w:rPr>
        <w:t xml:space="preserve"> inconclusive</w:t>
      </w:r>
      <w:r w:rsidR="0081742D">
        <w:rPr>
          <w:rFonts w:eastAsia="Arial"/>
        </w:rPr>
        <w:t xml:space="preserve">. </w:t>
      </w:r>
      <w:r w:rsidRPr="005A4C7D">
        <w:rPr>
          <w:rFonts w:eastAsia="Arial"/>
        </w:rPr>
        <w:t>Since no cross-country financial transactions (GFI et al., 2015) can occur in the world without engaging banking systems hence, this paper builds its foundation on banking practices, rather than econometrics</w:t>
      </w:r>
      <w:r w:rsidR="0081742D">
        <w:rPr>
          <w:rFonts w:eastAsia="Arial"/>
        </w:rPr>
        <w:t xml:space="preserve">. </w:t>
      </w:r>
      <w:r w:rsidRPr="005A4C7D">
        <w:rPr>
          <w:rFonts w:eastAsia="Arial"/>
        </w:rPr>
        <w:t xml:space="preserve">As the black box opener, </w:t>
      </w:r>
      <w:r w:rsidRPr="005A4C7D">
        <w:rPr>
          <w:rFonts w:eastAsia="Arial"/>
          <w:lang w:val="en-US"/>
        </w:rPr>
        <w:t xml:space="preserve">Galbraith (1975:5) expresses that </w:t>
      </w:r>
      <w:r w:rsidRPr="005A4C7D">
        <w:rPr>
          <w:rFonts w:eastAsia="Arial"/>
        </w:rPr>
        <w:t>the knowledge o</w:t>
      </w:r>
      <w:r w:rsidR="00437402">
        <w:rPr>
          <w:rFonts w:eastAsia="Arial"/>
        </w:rPr>
        <w:t>f</w:t>
      </w:r>
      <w:r w:rsidRPr="005A4C7D">
        <w:rPr>
          <w:rFonts w:eastAsia="Arial"/>
        </w:rPr>
        <w:t xml:space="preserve"> how the banks work is essential</w:t>
      </w:r>
      <w:r w:rsidR="0081742D">
        <w:rPr>
          <w:rFonts w:eastAsia="Arial"/>
          <w:lang w:val="en-US"/>
        </w:rPr>
        <w:t xml:space="preserve">. </w:t>
      </w:r>
      <w:r w:rsidR="004008EE">
        <w:rPr>
          <w:rFonts w:eastAsia="Arial"/>
          <w:lang w:val="en-US"/>
        </w:rPr>
        <w:t xml:space="preserve">He says </w:t>
      </w:r>
      <w:r w:rsidRPr="005A4C7D">
        <w:rPr>
          <w:rFonts w:eastAsia="Arial"/>
          <w:lang w:val="en-US"/>
        </w:rPr>
        <w:t xml:space="preserve">that </w:t>
      </w:r>
      <w:r w:rsidR="00B5685E" w:rsidRPr="005A4C7D">
        <w:rPr>
          <w:rFonts w:eastAsia="Arial"/>
          <w:i/>
          <w:color w:val="0000CC"/>
        </w:rPr>
        <w:t>“</w:t>
      </w:r>
      <w:r w:rsidRPr="005A4C7D">
        <w:rPr>
          <w:rFonts w:eastAsia="Arial"/>
          <w:i/>
          <w:color w:val="0000CC"/>
        </w:rPr>
        <w:t xml:space="preserve">[t]he studies of money, above all other fields in economics, is the one in which complexity is used to disguise truth or to evade truth, not to reveal it. </w:t>
      </w:r>
      <w:r w:rsidR="00106913">
        <w:rPr>
          <w:rFonts w:eastAsia="Arial"/>
          <w:i/>
          <w:color w:val="0000CC"/>
        </w:rPr>
        <w:t>...</w:t>
      </w:r>
      <w:r w:rsidRPr="005A4C7D">
        <w:rPr>
          <w:rFonts w:eastAsia="Arial"/>
          <w:i/>
          <w:color w:val="0000CC"/>
        </w:rPr>
        <w:t xml:space="preserve"> Money, in contrast, is equally important to those who have it and those who don</w:t>
      </w:r>
      <w:r w:rsidR="00B5685E" w:rsidRPr="005A4C7D">
        <w:rPr>
          <w:rFonts w:eastAsia="Arial"/>
          <w:i/>
          <w:color w:val="0000CC"/>
        </w:rPr>
        <w:t>’</w:t>
      </w:r>
      <w:r w:rsidRPr="005A4C7D">
        <w:rPr>
          <w:rFonts w:eastAsia="Arial"/>
          <w:i/>
          <w:color w:val="0000CC"/>
        </w:rPr>
        <w:t>t. Both, accordingly, have a concern for understanding it.</w:t>
      </w:r>
      <w:r w:rsidR="00B5685E" w:rsidRPr="005A4C7D">
        <w:rPr>
          <w:rFonts w:eastAsia="Arial"/>
          <w:i/>
          <w:color w:val="0000CC"/>
        </w:rPr>
        <w:t>”</w:t>
      </w:r>
      <w:r w:rsidRPr="005A4C7D">
        <w:rPr>
          <w:rFonts w:eastAsia="Arial"/>
        </w:rPr>
        <w:t xml:space="preserve"> Hence, the subsequent section opens the black box yet briefly, by expatiating on the three banking theories identified by Werner (2014, 2016).</w:t>
      </w:r>
    </w:p>
    <w:p w14:paraId="1C29E02C" w14:textId="77777777" w:rsidR="00137F8E" w:rsidRPr="005A4C7D" w:rsidRDefault="00137F8E" w:rsidP="00137F8E">
      <w:pPr>
        <w:pStyle w:val="Heading2"/>
        <w:numPr>
          <w:ilvl w:val="1"/>
          <w:numId w:val="19"/>
        </w:numPr>
        <w:spacing w:line="360" w:lineRule="auto"/>
        <w:ind w:left="709" w:hanging="709"/>
        <w:rPr>
          <w:rFonts w:eastAsia="Arial"/>
        </w:rPr>
      </w:pPr>
      <w:r w:rsidRPr="005A4C7D">
        <w:rPr>
          <w:rFonts w:eastAsia="Arial"/>
          <w:sz w:val="24"/>
          <w:szCs w:val="24"/>
        </w:rPr>
        <w:t xml:space="preserve">Financial Intermediation Banking (or Loanable Funds) (LF) </w:t>
      </w:r>
    </w:p>
    <w:p w14:paraId="0D89AFF6" w14:textId="395DF2FD" w:rsidR="00137F8E" w:rsidRPr="005A4C7D" w:rsidRDefault="00137F8E" w:rsidP="00137F8E">
      <w:pPr>
        <w:shd w:val="clear" w:color="auto" w:fill="FFFFFF"/>
        <w:spacing w:line="360" w:lineRule="auto"/>
        <w:jc w:val="both"/>
        <w:rPr>
          <w:rFonts w:eastAsia="Arial"/>
        </w:rPr>
      </w:pPr>
      <w:r w:rsidRPr="005A4C7D">
        <w:rPr>
          <w:rFonts w:eastAsia="Arial"/>
        </w:rPr>
        <w:t>First, LF is the most dominant theory which holds that banks are merely financial intermediaries</w:t>
      </w:r>
      <w:r w:rsidR="0081742D">
        <w:rPr>
          <w:rFonts w:eastAsia="Arial"/>
        </w:rPr>
        <w:t xml:space="preserve">. </w:t>
      </w:r>
      <w:r w:rsidRPr="005A4C7D">
        <w:rPr>
          <w:rFonts w:eastAsia="Arial"/>
        </w:rPr>
        <w:t>They gather deposits, mostly in cash, from patient savers and lend them out to customers or impatient spenders and charge interest</w:t>
      </w:r>
      <w:r w:rsidR="0081742D">
        <w:rPr>
          <w:rFonts w:eastAsia="Arial"/>
        </w:rPr>
        <w:t xml:space="preserve">. </w:t>
      </w:r>
      <w:r w:rsidRPr="005A4C7D">
        <w:rPr>
          <w:rFonts w:eastAsia="Arial"/>
        </w:rPr>
        <w:t xml:space="preserve">ADB appears to practice the LF as it continuously requests its member countries to replenish its ordinary capital resources. </w:t>
      </w:r>
    </w:p>
    <w:p w14:paraId="763017C7" w14:textId="77777777" w:rsidR="00137F8E" w:rsidRPr="005A4C7D" w:rsidRDefault="00137F8E" w:rsidP="00137F8E">
      <w:pPr>
        <w:pStyle w:val="Heading2"/>
        <w:numPr>
          <w:ilvl w:val="1"/>
          <w:numId w:val="19"/>
        </w:numPr>
        <w:spacing w:line="360" w:lineRule="auto"/>
        <w:ind w:left="709" w:hanging="709"/>
        <w:rPr>
          <w:rFonts w:eastAsia="Arial"/>
        </w:rPr>
      </w:pPr>
      <w:r w:rsidRPr="005A4C7D">
        <w:rPr>
          <w:rFonts w:eastAsia="Arial"/>
          <w:sz w:val="24"/>
          <w:szCs w:val="24"/>
        </w:rPr>
        <w:t xml:space="preserve">Money Multiplier or Fractional Reserve Banking (FRB) </w:t>
      </w:r>
    </w:p>
    <w:p w14:paraId="2E0D1BF7" w14:textId="58425487" w:rsidR="00137F8E" w:rsidRPr="005A4C7D" w:rsidRDefault="00137F8E" w:rsidP="00137F8E">
      <w:pPr>
        <w:spacing w:line="360" w:lineRule="auto"/>
        <w:ind w:right="105"/>
        <w:jc w:val="both"/>
        <w:rPr>
          <w:rFonts w:eastAsia="Arial"/>
        </w:rPr>
      </w:pPr>
      <w:r w:rsidRPr="005A4C7D">
        <w:rPr>
          <w:rFonts w:eastAsia="Arial"/>
        </w:rPr>
        <w:t xml:space="preserve">Second, the FRB theory adopts that banks create money </w:t>
      </w:r>
      <w:r w:rsidRPr="005A4C7D">
        <w:rPr>
          <w:rFonts w:eastAsia="Arial"/>
          <w:lang w:val="en-US"/>
        </w:rPr>
        <w:t>via</w:t>
      </w:r>
      <w:r w:rsidRPr="005A4C7D">
        <w:rPr>
          <w:rFonts w:eastAsia="Arial"/>
        </w:rPr>
        <w:t xml:space="preserve"> multiple deposit expansion by using a fraction of the money in their possession as the basis for credit generation</w:t>
      </w:r>
      <w:r w:rsidR="0081742D">
        <w:rPr>
          <w:rFonts w:eastAsia="Arial"/>
        </w:rPr>
        <w:t xml:space="preserve">. </w:t>
      </w:r>
      <w:r w:rsidRPr="005A4C7D">
        <w:rPr>
          <w:rFonts w:eastAsia="Arial"/>
        </w:rPr>
        <w:t>A bank with $10 cash in its entire holding able to lend out $100 (10 times) under the 10% reserve rule</w:t>
      </w:r>
      <w:r w:rsidRPr="005A4C7D">
        <w:rPr>
          <w:rFonts w:eastAsia="Arial"/>
          <w:vertAlign w:val="superscript"/>
        </w:rPr>
        <w:footnoteReference w:id="6"/>
      </w:r>
      <w:r w:rsidRPr="005A4C7D">
        <w:rPr>
          <w:rFonts w:eastAsia="Arial"/>
        </w:rPr>
        <w:t xml:space="preserve"> (Nichols, 1992 (1</w:t>
      </w:r>
      <w:r w:rsidRPr="005A4C7D">
        <w:rPr>
          <w:rFonts w:eastAsia="Arial"/>
          <w:vertAlign w:val="superscript"/>
        </w:rPr>
        <w:t>st</w:t>
      </w:r>
      <w:r w:rsidRPr="005A4C7D">
        <w:rPr>
          <w:rFonts w:eastAsia="Arial"/>
        </w:rPr>
        <w:t xml:space="preserve"> ed., 1961:11)</w:t>
      </w:r>
      <w:r w:rsidR="007E448B" w:rsidRPr="005A4C7D">
        <w:rPr>
          <w:rFonts w:eastAsia="Arial"/>
          <w:lang w:val="en-US"/>
        </w:rPr>
        <w:t>)</w:t>
      </w:r>
      <w:r w:rsidRPr="005A4C7D">
        <w:rPr>
          <w:rFonts w:eastAsia="Arial"/>
        </w:rPr>
        <w:t>. At the time of ADB creation in 1966, the FED</w:t>
      </w:r>
      <w:r w:rsidRPr="005A4C7D">
        <w:rPr>
          <w:rFonts w:eastAsia="Arial"/>
          <w:vertAlign w:val="superscript"/>
        </w:rPr>
        <w:footnoteReference w:id="7"/>
      </w:r>
      <w:r w:rsidRPr="005A4C7D">
        <w:rPr>
          <w:rFonts w:eastAsia="Arial"/>
        </w:rPr>
        <w:t xml:space="preserve"> required all banks to maintain a reserve ratio of 4-6% (The Fed, 2020, Footnote 10-13)</w:t>
      </w:r>
      <w:r w:rsidR="0081742D">
        <w:rPr>
          <w:rFonts w:eastAsia="Arial"/>
        </w:rPr>
        <w:t xml:space="preserve">. </w:t>
      </w:r>
      <w:r w:rsidRPr="005A4C7D">
        <w:rPr>
          <w:rFonts w:eastAsia="Arial"/>
        </w:rPr>
        <w:t>Th</w:t>
      </w:r>
      <w:r w:rsidRPr="005A4C7D">
        <w:rPr>
          <w:rFonts w:eastAsia="Arial"/>
          <w:lang w:val="en-US"/>
        </w:rPr>
        <w:t xml:space="preserve">e Fed nullifies this </w:t>
      </w:r>
      <w:r w:rsidRPr="005A4C7D">
        <w:rPr>
          <w:rFonts w:eastAsia="Arial"/>
        </w:rPr>
        <w:t>requirement on 26 March 2020 (The Fed, 2020) which means any bank can lend out money with zero reserves (Nichols, 1992:3). Per its 2020 Information Statement (ADB, 2020:4)</w:t>
      </w:r>
      <w:r w:rsidRPr="005A4C7D">
        <w:rPr>
          <w:rFonts w:eastAsia="Arial"/>
          <w:vertAlign w:val="superscript"/>
        </w:rPr>
        <w:footnoteReference w:id="8"/>
      </w:r>
      <w:r w:rsidRPr="005A4C7D">
        <w:rPr>
          <w:rFonts w:eastAsia="Arial"/>
        </w:rPr>
        <w:t>, ADB lending operation appears to maintain between 4-8% reserve (FRB) ratio</w:t>
      </w:r>
      <w:r w:rsidR="003D27A5">
        <w:rPr>
          <w:rFonts w:eastAsia="Arial"/>
          <w:lang w:val="en-US"/>
        </w:rPr>
        <w:t xml:space="preserve">. </w:t>
      </w:r>
      <w:r w:rsidR="009B0554">
        <w:rPr>
          <w:rFonts w:eastAsia="Arial"/>
          <w:lang w:val="en-US"/>
        </w:rPr>
        <w:t>We measured this</w:t>
      </w:r>
      <w:r w:rsidRPr="005A4C7D">
        <w:rPr>
          <w:rFonts w:eastAsia="Arial"/>
        </w:rPr>
        <w:t xml:space="preserve"> </w:t>
      </w:r>
      <w:r w:rsidR="009B0554">
        <w:rPr>
          <w:rFonts w:eastAsia="Arial"/>
          <w:lang w:val="en-US"/>
        </w:rPr>
        <w:t>from the</w:t>
      </w:r>
      <w:r w:rsidRPr="005A4C7D">
        <w:rPr>
          <w:rFonts w:eastAsia="Arial"/>
        </w:rPr>
        <w:t xml:space="preserve"> paid-in capital (PIC) in cash ($$7,372 million) or Other Reserves (Table 12, Footnote c:24) over its maximum lending ceiling (MLC)</w:t>
      </w:r>
      <w:r w:rsidRPr="005A4C7D">
        <w:rPr>
          <w:rFonts w:eastAsia="Arial"/>
          <w:vertAlign w:val="superscript"/>
        </w:rPr>
        <w:t xml:space="preserve"> </w:t>
      </w:r>
      <w:r w:rsidRPr="005A4C7D">
        <w:rPr>
          <w:rFonts w:eastAsia="Arial"/>
        </w:rPr>
        <w:t>of $192,547</w:t>
      </w:r>
      <w:r w:rsidR="0081742D">
        <w:rPr>
          <w:rFonts w:eastAsia="Arial"/>
        </w:rPr>
        <w:t xml:space="preserve">. </w:t>
      </w:r>
      <w:r w:rsidRPr="005A4C7D">
        <w:rPr>
          <w:rFonts w:eastAsia="Arial"/>
        </w:rPr>
        <w:t>This is 1.3 times over its Subscribed Capital (SC) of $147,120</w:t>
      </w:r>
      <w:r w:rsidR="0081742D">
        <w:rPr>
          <w:rFonts w:eastAsia="Arial"/>
        </w:rPr>
        <w:t xml:space="preserve">. </w:t>
      </w:r>
      <w:r w:rsidRPr="005A4C7D">
        <w:rPr>
          <w:rFonts w:eastAsia="Arial"/>
        </w:rPr>
        <w:t xml:space="preserve">With 4-8% reserve, ADB can </w:t>
      </w:r>
      <w:r w:rsidRPr="005A4C7D">
        <w:rPr>
          <w:rFonts w:eastAsia="Arial"/>
        </w:rPr>
        <w:lastRenderedPageBreak/>
        <w:t>lend out between 12.5-25 times of its PIC</w:t>
      </w:r>
      <w:r w:rsidR="0081742D">
        <w:rPr>
          <w:rFonts w:eastAsia="Arial"/>
        </w:rPr>
        <w:t xml:space="preserve">. </w:t>
      </w:r>
      <w:r w:rsidRPr="005A4C7D">
        <w:rPr>
          <w:rFonts w:eastAsia="Arial"/>
        </w:rPr>
        <w:t xml:space="preserve">Based on this evidence </w:t>
      </w:r>
      <w:r w:rsidRPr="005A4C7D">
        <w:rPr>
          <w:rFonts w:eastAsia="Arial"/>
          <w:lang w:val="en-US"/>
        </w:rPr>
        <w:t>we</w:t>
      </w:r>
      <w:r w:rsidRPr="005A4C7D">
        <w:rPr>
          <w:rFonts w:eastAsia="Arial"/>
        </w:rPr>
        <w:t xml:space="preserve"> assume</w:t>
      </w:r>
      <w:r w:rsidRPr="005A4C7D">
        <w:rPr>
          <w:rFonts w:eastAsia="Arial"/>
          <w:lang w:val="en-US"/>
        </w:rPr>
        <w:t>d</w:t>
      </w:r>
      <w:r w:rsidRPr="005A4C7D">
        <w:rPr>
          <w:rFonts w:eastAsia="Arial"/>
        </w:rPr>
        <w:t xml:space="preserve"> that ADB, through its banking governance, is adopting both the FRB and LF</w:t>
      </w:r>
      <w:r w:rsidR="0081742D">
        <w:rPr>
          <w:rFonts w:eastAsia="Arial"/>
        </w:rPr>
        <w:t xml:space="preserve">. </w:t>
      </w:r>
      <w:r w:rsidR="00936880">
        <w:rPr>
          <w:rFonts w:eastAsia="Arial"/>
          <w:lang w:val="en-US"/>
        </w:rPr>
        <w:t>T</w:t>
      </w:r>
      <w:r w:rsidRPr="005A4C7D">
        <w:rPr>
          <w:rFonts w:eastAsia="Arial"/>
        </w:rPr>
        <w:t xml:space="preserve">his paper uses these two terms in the analysis. </w:t>
      </w:r>
    </w:p>
    <w:p w14:paraId="47F69125" w14:textId="77777777" w:rsidR="00137F8E" w:rsidRPr="005A4C7D" w:rsidRDefault="00137F8E" w:rsidP="00137F8E">
      <w:pPr>
        <w:spacing w:line="360" w:lineRule="auto"/>
        <w:rPr>
          <w:rFonts w:eastAsia="Arial"/>
        </w:rPr>
      </w:pPr>
    </w:p>
    <w:p w14:paraId="592B1E0B" w14:textId="77777777" w:rsidR="00137F8E" w:rsidRPr="005A4C7D" w:rsidRDefault="00137F8E" w:rsidP="00137F8E">
      <w:pPr>
        <w:spacing w:line="360" w:lineRule="auto"/>
        <w:ind w:right="105"/>
        <w:jc w:val="both"/>
        <w:rPr>
          <w:rFonts w:eastAsia="Arial"/>
        </w:rPr>
      </w:pPr>
      <w:r w:rsidRPr="005A4C7D">
        <w:rPr>
          <w:rFonts w:eastAsia="Arial"/>
        </w:rPr>
        <w:t>Werner (2014, 2016), Keen (2014) and Moore (1983), and a growing number of central banks, for example, the Fed (Carpenter and Demiralp, 2010) and the Bank of England (McLeay, et al., 2014), have mathematically, empirically, and practically proven that both LF and FRB theories are untenable, factually incorrect and not reflecting reality hence are indefensible.</w:t>
      </w:r>
    </w:p>
    <w:p w14:paraId="662C7186" w14:textId="77777777" w:rsidR="00137F8E" w:rsidRPr="005A4C7D" w:rsidRDefault="00137F8E" w:rsidP="00137F8E">
      <w:pPr>
        <w:pStyle w:val="Heading2"/>
        <w:numPr>
          <w:ilvl w:val="1"/>
          <w:numId w:val="19"/>
        </w:numPr>
        <w:spacing w:line="360" w:lineRule="auto"/>
        <w:ind w:left="709" w:hanging="709"/>
        <w:rPr>
          <w:rFonts w:eastAsia="Arial"/>
        </w:rPr>
      </w:pPr>
      <w:r w:rsidRPr="005A4C7D">
        <w:rPr>
          <w:rFonts w:eastAsia="Arial"/>
          <w:sz w:val="24"/>
          <w:szCs w:val="24"/>
        </w:rPr>
        <w:t>Credit Creation (CC)</w:t>
      </w:r>
    </w:p>
    <w:p w14:paraId="520C003D" w14:textId="3E34A17D" w:rsidR="00137F8E" w:rsidRPr="005A4C7D" w:rsidRDefault="00137F8E" w:rsidP="00137F8E">
      <w:pPr>
        <w:shd w:val="clear" w:color="auto" w:fill="FFFFFF"/>
        <w:spacing w:line="360" w:lineRule="auto"/>
        <w:jc w:val="both"/>
        <w:rPr>
          <w:rFonts w:eastAsia="Arial"/>
        </w:rPr>
      </w:pPr>
      <w:r w:rsidRPr="005A4C7D">
        <w:rPr>
          <w:rFonts w:eastAsia="Arial"/>
        </w:rPr>
        <w:t>Third, the CC is the most dominant theory and currently practiced around the world in which banks require neither deposit nor reserve</w:t>
      </w:r>
      <w:r w:rsidR="0081742D">
        <w:rPr>
          <w:rFonts w:eastAsia="Arial"/>
        </w:rPr>
        <w:t xml:space="preserve">. </w:t>
      </w:r>
      <w:r w:rsidRPr="005A4C7D">
        <w:rPr>
          <w:rFonts w:eastAsia="Arial"/>
        </w:rPr>
        <w:t xml:space="preserve">The Bank of England describes the money creation </w:t>
      </w:r>
      <w:r w:rsidRPr="005A4C7D">
        <w:rPr>
          <w:rFonts w:eastAsia="Arial"/>
          <w:lang w:val="en-US"/>
        </w:rPr>
        <w:t>begins</w:t>
      </w:r>
      <w:r w:rsidRPr="005A4C7D">
        <w:rPr>
          <w:rFonts w:eastAsia="Arial"/>
        </w:rPr>
        <w:t xml:space="preserve"> when a</w:t>
      </w:r>
      <w:r w:rsidRPr="005A4C7D">
        <w:rPr>
          <w:rFonts w:eastAsia="Arial"/>
          <w:lang w:val="en-US"/>
        </w:rPr>
        <w:t xml:space="preserve"> client signs </w:t>
      </w:r>
      <w:r w:rsidR="00A751A2" w:rsidRPr="005A4C7D">
        <w:rPr>
          <w:rFonts w:eastAsia="Arial"/>
          <w:lang w:val="en-US"/>
        </w:rPr>
        <w:t>the</w:t>
      </w:r>
      <w:r w:rsidRPr="005A4C7D">
        <w:rPr>
          <w:rFonts w:eastAsia="Arial"/>
        </w:rPr>
        <w:t xml:space="preserve"> LA</w:t>
      </w:r>
      <w:r w:rsidR="0081742D">
        <w:rPr>
          <w:rFonts w:eastAsia="Arial"/>
          <w:lang w:val="en-US"/>
        </w:rPr>
        <w:t xml:space="preserve">. </w:t>
      </w:r>
      <w:r w:rsidRPr="005A4C7D">
        <w:rPr>
          <w:rFonts w:eastAsia="Arial"/>
          <w:lang w:val="en-US"/>
        </w:rPr>
        <w:t xml:space="preserve">They </w:t>
      </w:r>
      <w:r w:rsidRPr="005A4C7D">
        <w:rPr>
          <w:rFonts w:eastAsia="Arial"/>
        </w:rPr>
        <w:t>state that</w:t>
      </w:r>
      <w:r w:rsidRPr="005A4C7D">
        <w:rPr>
          <w:rFonts w:eastAsia="Arial"/>
          <w:i/>
          <w:color w:val="0000CC"/>
        </w:rPr>
        <w:t xml:space="preserve"> “The bank, therefore, creates its funding, deposits, in the act of lending, in a transaction that involves no intermediation whatsoever.</w:t>
      </w:r>
      <w:r w:rsidR="00B5685E" w:rsidRPr="005A4C7D">
        <w:rPr>
          <w:rFonts w:eastAsia="Arial"/>
          <w:i/>
          <w:color w:val="0000CC"/>
        </w:rPr>
        <w:t>”</w:t>
      </w:r>
      <w:r w:rsidRPr="005A4C7D">
        <w:rPr>
          <w:rFonts w:eastAsia="Arial"/>
        </w:rPr>
        <w:t xml:space="preserve"> (Jakab &amp; Kumhof, 2015: ii)</w:t>
      </w:r>
      <w:r w:rsidR="0081742D">
        <w:rPr>
          <w:rFonts w:eastAsia="Arial"/>
        </w:rPr>
        <w:t xml:space="preserve">. </w:t>
      </w:r>
      <w:r w:rsidRPr="005A4C7D">
        <w:rPr>
          <w:rFonts w:eastAsia="Arial"/>
        </w:rPr>
        <w:t>All the banks need for credit money creation is a signed LA or promissory note. This is the oldest banking theory in a modern civilization based on 5000 years of practice (Werner, 2016; Hudson, 2018). Werner (2014:14) in the first-ever practical empirical test of 5000 years of modern banking, observed in real-time and in an actual bank environment</w:t>
      </w:r>
      <w:r w:rsidR="0081742D">
        <w:rPr>
          <w:rFonts w:eastAsia="Arial"/>
          <w:lang w:val="en-US"/>
        </w:rPr>
        <w:t xml:space="preserve">. </w:t>
      </w:r>
      <w:r w:rsidR="004008EE">
        <w:rPr>
          <w:rFonts w:eastAsia="Arial"/>
          <w:lang w:val="en-US"/>
        </w:rPr>
        <w:t>A</w:t>
      </w:r>
      <w:r w:rsidRPr="005A4C7D">
        <w:rPr>
          <w:rFonts w:eastAsia="Arial"/>
        </w:rPr>
        <w:t xml:space="preserve"> BBC</w:t>
      </w:r>
      <w:r w:rsidR="004754C1">
        <w:rPr>
          <w:rStyle w:val="FootnoteReference"/>
          <w:rFonts w:eastAsia="Arial"/>
        </w:rPr>
        <w:footnoteReference w:id="9"/>
      </w:r>
      <w:r w:rsidRPr="005A4C7D">
        <w:rPr>
          <w:rFonts w:eastAsia="Arial"/>
        </w:rPr>
        <w:t xml:space="preserve"> crew </w:t>
      </w:r>
      <w:r w:rsidR="004008EE">
        <w:rPr>
          <w:rFonts w:eastAsia="Arial"/>
          <w:lang w:val="en-US"/>
        </w:rPr>
        <w:t xml:space="preserve">was </w:t>
      </w:r>
      <w:r w:rsidRPr="005A4C7D">
        <w:rPr>
          <w:rFonts w:eastAsia="Arial"/>
        </w:rPr>
        <w:t xml:space="preserve">filming the whole process of LA signing until he receives the credit money into his bank account. The </w:t>
      </w:r>
      <w:r w:rsidRPr="005A4C7D">
        <w:rPr>
          <w:rFonts w:eastAsia="Arial"/>
          <w:lang w:val="en-US"/>
        </w:rPr>
        <w:t>entire</w:t>
      </w:r>
      <w:r w:rsidRPr="005A4C7D">
        <w:rPr>
          <w:rFonts w:eastAsia="Arial"/>
        </w:rPr>
        <w:t xml:space="preserve"> process took 35 minutes in contrast with </w:t>
      </w:r>
      <w:r w:rsidR="00B6611F">
        <w:rPr>
          <w:rFonts w:eastAsia="Arial"/>
          <w:lang w:val="en-US"/>
        </w:rPr>
        <w:t xml:space="preserve">the </w:t>
      </w:r>
      <w:r w:rsidRPr="005A4C7D">
        <w:rPr>
          <w:rFonts w:eastAsia="Arial"/>
        </w:rPr>
        <w:t>fund outlaying</w:t>
      </w:r>
      <w:r w:rsidR="00B6611F">
        <w:rPr>
          <w:rFonts w:eastAsia="Arial"/>
          <w:lang w:val="en-US"/>
        </w:rPr>
        <w:t xml:space="preserve"> by ADB</w:t>
      </w:r>
      <w:r w:rsidRPr="005A4C7D">
        <w:rPr>
          <w:rFonts w:eastAsia="Arial"/>
        </w:rPr>
        <w:t xml:space="preserve"> that takes </w:t>
      </w:r>
      <w:r w:rsidRPr="005A4C7D">
        <w:rPr>
          <w:rFonts w:eastAsia="Arial"/>
          <w:lang w:val="en-US"/>
        </w:rPr>
        <w:t>over</w:t>
      </w:r>
      <w:r w:rsidRPr="005A4C7D">
        <w:rPr>
          <w:rFonts w:eastAsia="Arial"/>
        </w:rPr>
        <w:t xml:space="preserve"> 5 years or an average of 7-8 years (Figure-1)</w:t>
      </w:r>
      <w:r w:rsidR="0081742D">
        <w:rPr>
          <w:rFonts w:eastAsia="Arial"/>
        </w:rPr>
        <w:t xml:space="preserve">. </w:t>
      </w:r>
    </w:p>
    <w:p w14:paraId="317206D8" w14:textId="77777777" w:rsidR="00137F8E" w:rsidRPr="005A4C7D" w:rsidRDefault="00137F8E" w:rsidP="00137F8E">
      <w:pPr>
        <w:shd w:val="clear" w:color="auto" w:fill="FFFFFF"/>
        <w:spacing w:line="360" w:lineRule="auto"/>
        <w:jc w:val="both"/>
        <w:rPr>
          <w:rFonts w:eastAsia="Arial"/>
        </w:rPr>
      </w:pPr>
    </w:p>
    <w:p w14:paraId="7E7D4868" w14:textId="77777777" w:rsidR="00137F8E" w:rsidRPr="005A4C7D" w:rsidRDefault="00137F8E" w:rsidP="00137F8E">
      <w:pPr>
        <w:keepNext/>
        <w:numPr>
          <w:ilvl w:val="0"/>
          <w:numId w:val="18"/>
        </w:numPr>
        <w:pBdr>
          <w:top w:val="nil"/>
          <w:left w:val="nil"/>
          <w:bottom w:val="nil"/>
          <w:right w:val="nil"/>
          <w:between w:val="nil"/>
        </w:pBdr>
        <w:spacing w:before="240" w:after="240" w:line="360" w:lineRule="auto"/>
        <w:ind w:left="426" w:hanging="426"/>
        <w:jc w:val="both"/>
        <w:rPr>
          <w:rFonts w:eastAsia="Arial"/>
        </w:rPr>
      </w:pPr>
      <w:r w:rsidRPr="005A4C7D">
        <w:rPr>
          <w:rFonts w:eastAsia="Arial"/>
          <w:b/>
        </w:rPr>
        <w:t>Banking Practice Illustrations</w:t>
      </w:r>
    </w:p>
    <w:p w14:paraId="274FC9F9" w14:textId="186FB010" w:rsidR="00137F8E" w:rsidRPr="005A4C7D" w:rsidRDefault="00137F8E" w:rsidP="00137F8E">
      <w:pPr>
        <w:shd w:val="clear" w:color="auto" w:fill="FFFFFF"/>
        <w:spacing w:line="360" w:lineRule="auto"/>
        <w:jc w:val="both"/>
        <w:rPr>
          <w:rFonts w:eastAsia="Arial"/>
        </w:rPr>
      </w:pPr>
      <w:r w:rsidRPr="005A4C7D">
        <w:rPr>
          <w:rFonts w:eastAsia="Arial"/>
        </w:rPr>
        <w:t>To illustrate the gains from money creation under the three banking theories, this online calculator</w:t>
      </w:r>
      <w:r w:rsidRPr="005A4C7D">
        <w:rPr>
          <w:rFonts w:eastAsia="Arial"/>
          <w:vertAlign w:val="superscript"/>
        </w:rPr>
        <w:footnoteReference w:id="10"/>
      </w:r>
      <w:r w:rsidR="000104C5">
        <w:rPr>
          <w:rFonts w:eastAsia="Arial"/>
          <w:lang w:val="en-US"/>
        </w:rPr>
        <w:t xml:space="preserve"> </w:t>
      </w:r>
      <w:r w:rsidRPr="005A4C7D">
        <w:rPr>
          <w:rFonts w:eastAsia="Arial"/>
        </w:rPr>
        <w:t>helps view those gains</w:t>
      </w:r>
      <w:r w:rsidR="0081742D">
        <w:rPr>
          <w:rFonts w:eastAsia="Arial"/>
          <w:lang w:val="en-US"/>
        </w:rPr>
        <w:t xml:space="preserve">. </w:t>
      </w:r>
      <w:r w:rsidR="003D27A5">
        <w:rPr>
          <w:rFonts w:eastAsia="Arial"/>
          <w:lang w:val="en-US"/>
        </w:rPr>
        <w:t xml:space="preserve">The calculator </w:t>
      </w:r>
      <w:r w:rsidR="003D27A5" w:rsidRPr="005A4C7D">
        <w:rPr>
          <w:rFonts w:eastAsia="Arial"/>
        </w:rPr>
        <w:t xml:space="preserve">uses the compounded interest formula </w:t>
      </w:r>
      <w:r w:rsidR="003D27A5" w:rsidRPr="005A4C7D">
        <w:rPr>
          <w:rFonts w:eastAsia="Arial"/>
          <w:b/>
          <w:highlight w:val="white"/>
        </w:rPr>
        <w:t>A=P(1+</w:t>
      </w:r>
      <w:proofErr w:type="gramStart"/>
      <w:r w:rsidR="003D27A5" w:rsidRPr="005A4C7D">
        <w:rPr>
          <w:rFonts w:eastAsia="Arial"/>
          <w:b/>
          <w:highlight w:val="white"/>
        </w:rPr>
        <w:t>r)</w:t>
      </w:r>
      <w:r w:rsidR="003D27A5" w:rsidRPr="005A4C7D">
        <w:rPr>
          <w:rFonts w:eastAsia="Arial"/>
          <w:b/>
          <w:highlight w:val="white"/>
          <w:vertAlign w:val="superscript"/>
        </w:rPr>
        <w:t>t</w:t>
      </w:r>
      <w:r w:rsidR="0081742D">
        <w:rPr>
          <w:rFonts w:eastAsia="Arial"/>
          <w:lang w:val="en-US"/>
        </w:rPr>
        <w:t>.</w:t>
      </w:r>
      <w:proofErr w:type="gramEnd"/>
      <w:r w:rsidR="0081742D">
        <w:rPr>
          <w:rFonts w:eastAsia="Arial"/>
          <w:lang w:val="en-US"/>
        </w:rPr>
        <w:t xml:space="preserve"> </w:t>
      </w:r>
      <w:r w:rsidR="003D27A5">
        <w:rPr>
          <w:rFonts w:eastAsia="Arial"/>
          <w:lang w:val="en-US"/>
        </w:rPr>
        <w:t xml:space="preserve">We run </w:t>
      </w:r>
      <w:r w:rsidRPr="005A4C7D">
        <w:rPr>
          <w:rFonts w:eastAsia="Arial"/>
        </w:rPr>
        <w:t>two scenarios</w:t>
      </w:r>
      <w:r w:rsidR="003D27A5">
        <w:rPr>
          <w:rFonts w:eastAsia="Arial"/>
          <w:lang w:val="en-US"/>
        </w:rPr>
        <w:t xml:space="preserve">, </w:t>
      </w:r>
      <w:r w:rsidRPr="005A4C7D">
        <w:rPr>
          <w:rFonts w:eastAsia="Arial"/>
        </w:rPr>
        <w:t xml:space="preserve">namely </w:t>
      </w:r>
      <w:r w:rsidRPr="00B6611F">
        <w:rPr>
          <w:rFonts w:eastAsia="Arial"/>
          <w:i/>
          <w:iCs/>
        </w:rPr>
        <w:t>borrow-to-invest (BTI)</w:t>
      </w:r>
      <w:r w:rsidRPr="005A4C7D">
        <w:rPr>
          <w:rFonts w:eastAsia="Arial"/>
        </w:rPr>
        <w:t xml:space="preserve"> and </w:t>
      </w:r>
      <w:r w:rsidRPr="00B6611F">
        <w:rPr>
          <w:rFonts w:eastAsia="Arial"/>
          <w:i/>
          <w:iCs/>
        </w:rPr>
        <w:t xml:space="preserve">borrow-to-project finance with </w:t>
      </w:r>
      <w:r w:rsidR="00C10AC1">
        <w:rPr>
          <w:rFonts w:eastAsia="Arial"/>
          <w:i/>
          <w:iCs/>
        </w:rPr>
        <w:t xml:space="preserve">a </w:t>
      </w:r>
      <w:r w:rsidRPr="00B6611F">
        <w:rPr>
          <w:rFonts w:eastAsia="Arial"/>
          <w:i/>
          <w:iCs/>
        </w:rPr>
        <w:t>$10 annual withdrawal (BTPF)</w:t>
      </w:r>
      <w:r w:rsidRPr="005A4C7D">
        <w:rPr>
          <w:rFonts w:eastAsia="Arial"/>
        </w:rPr>
        <w:t xml:space="preserve"> hence </w:t>
      </w:r>
      <w:r w:rsidR="00C10AC1">
        <w:rPr>
          <w:rFonts w:eastAsia="Arial"/>
        </w:rPr>
        <w:t xml:space="preserve">an </w:t>
      </w:r>
      <w:r w:rsidRPr="005A4C7D">
        <w:rPr>
          <w:rFonts w:eastAsia="Arial"/>
        </w:rPr>
        <w:t>8-year investment</w:t>
      </w:r>
      <w:r w:rsidR="0081742D">
        <w:rPr>
          <w:rFonts w:eastAsia="Arial"/>
        </w:rPr>
        <w:t xml:space="preserve">. </w:t>
      </w:r>
      <w:r w:rsidRPr="005A4C7D">
        <w:rPr>
          <w:rFonts w:eastAsia="Arial"/>
        </w:rPr>
        <w:t>Annual interest (r) is using estimated average ADB loans to Indonesia of 4.727% and compounded annually</w:t>
      </w:r>
      <w:r w:rsidR="0081742D">
        <w:rPr>
          <w:rFonts w:eastAsia="Arial"/>
        </w:rPr>
        <w:t xml:space="preserve">. </w:t>
      </w:r>
      <w:r w:rsidRPr="005A4C7D">
        <w:rPr>
          <w:rFonts w:eastAsia="Arial"/>
        </w:rPr>
        <w:t>A hypothetical loan (P) of $100 under LF and 10% bank reserve hence, 100/10% = $1000 money creation under FRB or CC</w:t>
      </w:r>
      <w:r w:rsidR="0081742D">
        <w:rPr>
          <w:rFonts w:eastAsia="Arial"/>
        </w:rPr>
        <w:t xml:space="preserve">. </w:t>
      </w:r>
      <w:r w:rsidRPr="005A4C7D">
        <w:rPr>
          <w:rFonts w:eastAsia="Arial"/>
        </w:rPr>
        <w:t xml:space="preserve">For (t), </w:t>
      </w:r>
      <w:r w:rsidRPr="005A4C7D">
        <w:rPr>
          <w:rFonts w:eastAsia="Arial"/>
          <w:lang w:val="en-US"/>
        </w:rPr>
        <w:t xml:space="preserve">we applied </w:t>
      </w:r>
      <w:r w:rsidRPr="005A4C7D">
        <w:rPr>
          <w:rFonts w:eastAsia="Arial"/>
        </w:rPr>
        <w:t xml:space="preserve">eight years </w:t>
      </w:r>
      <w:r w:rsidRPr="005A4C7D">
        <w:rPr>
          <w:rFonts w:eastAsia="Arial"/>
          <w:lang w:val="en-US"/>
        </w:rPr>
        <w:t>under</w:t>
      </w:r>
      <w:r w:rsidRPr="005A4C7D">
        <w:rPr>
          <w:rFonts w:eastAsia="Arial"/>
        </w:rPr>
        <w:t xml:space="preserve"> LF to reflect average ADB delays and five years for FRB/CC which coincides with the ADB grace period when loan </w:t>
      </w:r>
      <w:r w:rsidRPr="005A4C7D">
        <w:rPr>
          <w:rFonts w:eastAsia="Arial"/>
        </w:rPr>
        <w:lastRenderedPageBreak/>
        <w:t xml:space="preserve">repayment begins in year-6 and the beginning of FRB/CC money creation reduction. </w:t>
      </w:r>
      <w:r w:rsidRPr="005A4C7D">
        <w:rPr>
          <w:rFonts w:eastAsia="Arial"/>
          <w:lang w:val="en-US"/>
        </w:rPr>
        <w:t>We did not calculate the l</w:t>
      </w:r>
      <w:r w:rsidRPr="005A4C7D">
        <w:rPr>
          <w:rFonts w:eastAsia="Arial"/>
        </w:rPr>
        <w:t>oan principal repayment plus interest to mirror the implementation phase or grace period of ADB loans. The results show gains (A) of $44.70 (BTI) and $23.48 (BTPF) hence per $1 loan is between $0.24 and $12.60 ($2.60 + $10) or 30% and 1170% for LF and FRB, respectively</w:t>
      </w:r>
      <w:r w:rsidR="0081742D">
        <w:rPr>
          <w:rFonts w:eastAsia="Arial"/>
        </w:rPr>
        <w:t xml:space="preserve">. </w:t>
      </w:r>
      <w:r w:rsidRPr="005A4C7D">
        <w:rPr>
          <w:rFonts w:eastAsia="Arial"/>
        </w:rPr>
        <w:t>This includes the new</w:t>
      </w:r>
      <w:proofErr w:type="spellStart"/>
      <w:r w:rsidRPr="005A4C7D">
        <w:rPr>
          <w:rFonts w:eastAsia="Arial"/>
          <w:lang w:val="en-US"/>
        </w:rPr>
        <w:t>ly</w:t>
      </w:r>
      <w:proofErr w:type="spellEnd"/>
      <w:r w:rsidRPr="005A4C7D">
        <w:rPr>
          <w:rFonts w:eastAsia="Arial"/>
          <w:lang w:val="en-US"/>
        </w:rPr>
        <w:t xml:space="preserve"> created</w:t>
      </w:r>
      <w:r w:rsidRPr="005A4C7D">
        <w:rPr>
          <w:rFonts w:eastAsia="Arial"/>
        </w:rPr>
        <w:t xml:space="preserve"> money plus compounded interest which is not all in favor of Indonesia hence a capital flight or loss.</w:t>
      </w:r>
    </w:p>
    <w:p w14:paraId="3B04299A" w14:textId="77777777" w:rsidR="00137F8E" w:rsidRPr="005A4C7D" w:rsidRDefault="00137F8E" w:rsidP="00137F8E">
      <w:pPr>
        <w:shd w:val="clear" w:color="auto" w:fill="FFFFFF"/>
        <w:spacing w:line="360" w:lineRule="auto"/>
        <w:jc w:val="both"/>
        <w:rPr>
          <w:rFonts w:eastAsia="Arial"/>
        </w:rPr>
      </w:pPr>
    </w:p>
    <w:p w14:paraId="29BCD21D" w14:textId="03B8341E" w:rsidR="00137F8E" w:rsidRPr="005A4C7D" w:rsidRDefault="00137F8E" w:rsidP="00137F8E">
      <w:pPr>
        <w:shd w:val="clear" w:color="auto" w:fill="FFFFFF"/>
        <w:spacing w:line="360" w:lineRule="auto"/>
        <w:jc w:val="both"/>
        <w:rPr>
          <w:rFonts w:eastAsia="Arial"/>
        </w:rPr>
      </w:pPr>
      <w:r w:rsidRPr="005A4C7D">
        <w:rPr>
          <w:rFonts w:eastAsia="Arial"/>
        </w:rPr>
        <w:t>Hence, this means for every one-year delay in ADB loan funded project causing the borrower (i.e., Indonesia) to lose between $0.03 ($0.24/8year) and $2.52 ($12.60/5year) per $1 loan or $0.003-$0.21 per $1 loan/month under LF and FRB correspondingly</w:t>
      </w:r>
      <w:r w:rsidR="0081742D">
        <w:rPr>
          <w:rFonts w:eastAsia="Arial"/>
        </w:rPr>
        <w:t xml:space="preserve">. </w:t>
      </w:r>
      <w:r w:rsidRPr="005A4C7D">
        <w:rPr>
          <w:rFonts w:eastAsia="Arial"/>
        </w:rPr>
        <w:t xml:space="preserve">In brief, if </w:t>
      </w:r>
      <w:r w:rsidRPr="005A4C7D">
        <w:rPr>
          <w:rFonts w:eastAsia="Arial"/>
          <w:lang w:val="en-US"/>
        </w:rPr>
        <w:t>ADB</w:t>
      </w:r>
      <w:r w:rsidRPr="005A4C7D">
        <w:rPr>
          <w:rFonts w:eastAsia="Arial"/>
        </w:rPr>
        <w:t xml:space="preserve"> do</w:t>
      </w:r>
      <w:r w:rsidRPr="005A4C7D">
        <w:rPr>
          <w:rFonts w:eastAsia="Arial"/>
          <w:lang w:val="en-US"/>
        </w:rPr>
        <w:t>es</w:t>
      </w:r>
      <w:r w:rsidRPr="005A4C7D">
        <w:rPr>
          <w:rFonts w:eastAsia="Arial"/>
        </w:rPr>
        <w:t xml:space="preserve"> not disburse the loan fund 100% in year-1 upon LA signing, it financially costs the borrower between $0.3-$21 per $100 loan/month under prevalent banking practices</w:t>
      </w:r>
      <w:r w:rsidR="0081742D">
        <w:rPr>
          <w:rFonts w:eastAsia="Arial"/>
        </w:rPr>
        <w:t xml:space="preserve">. </w:t>
      </w:r>
      <w:r w:rsidRPr="005A4C7D">
        <w:rPr>
          <w:rFonts w:eastAsia="Arial"/>
          <w:lang w:val="en-US"/>
        </w:rPr>
        <w:t>T</w:t>
      </w:r>
      <w:r w:rsidRPr="005A4C7D">
        <w:rPr>
          <w:rFonts w:eastAsia="Arial"/>
        </w:rPr>
        <w:t>he ADB (2018, footnote a:37) states that for every 2 months delay avoided in their project implementation might increase the net economic benefit by 1% of their loan portfolio, which is equivalent to $0.5 per $100 loan</w:t>
      </w:r>
      <w:r w:rsidR="0081742D">
        <w:rPr>
          <w:rFonts w:eastAsia="Arial"/>
        </w:rPr>
        <w:t xml:space="preserve">. </w:t>
      </w:r>
      <w:r w:rsidRPr="005A4C7D">
        <w:rPr>
          <w:rFonts w:eastAsia="Arial"/>
        </w:rPr>
        <w:t xml:space="preserve">Based on this, ADB is gaining interest through BTPF on undisbursed funds (See also </w:t>
      </w:r>
      <w:r w:rsidR="00D43229" w:rsidRPr="005A4C7D">
        <w:rPr>
          <w:rFonts w:eastAsia="Arial"/>
        </w:rPr>
        <w:t>U.S.</w:t>
      </w:r>
      <w:r w:rsidRPr="005A4C7D">
        <w:rPr>
          <w:rFonts w:eastAsia="Arial"/>
        </w:rPr>
        <w:t xml:space="preserve"> Congress, 1968a:274).</w:t>
      </w:r>
    </w:p>
    <w:p w14:paraId="4BD55BDB" w14:textId="77777777" w:rsidR="00137F8E" w:rsidRPr="005A4C7D" w:rsidRDefault="00137F8E" w:rsidP="00137F8E">
      <w:pPr>
        <w:keepNext/>
        <w:numPr>
          <w:ilvl w:val="0"/>
          <w:numId w:val="18"/>
        </w:numPr>
        <w:pBdr>
          <w:top w:val="nil"/>
          <w:left w:val="nil"/>
          <w:bottom w:val="nil"/>
          <w:right w:val="nil"/>
          <w:between w:val="nil"/>
        </w:pBdr>
        <w:spacing w:before="240" w:after="240" w:line="360" w:lineRule="auto"/>
        <w:ind w:left="426" w:hanging="426"/>
        <w:jc w:val="both"/>
        <w:rPr>
          <w:rFonts w:eastAsia="Arial"/>
        </w:rPr>
      </w:pPr>
      <w:r w:rsidRPr="005A4C7D">
        <w:rPr>
          <w:rFonts w:eastAsia="Arial"/>
          <w:b/>
        </w:rPr>
        <w:t>A case study with one country and one source of funding</w:t>
      </w:r>
    </w:p>
    <w:p w14:paraId="5331B8AC" w14:textId="3194EC06" w:rsidR="00137F8E" w:rsidRPr="005A4C7D" w:rsidRDefault="00137F8E" w:rsidP="00137F8E">
      <w:pPr>
        <w:spacing w:line="360" w:lineRule="auto"/>
        <w:jc w:val="both"/>
        <w:rPr>
          <w:rFonts w:eastAsia="Arial"/>
        </w:rPr>
      </w:pPr>
      <w:r w:rsidRPr="005A4C7D">
        <w:rPr>
          <w:rFonts w:eastAsia="Arial"/>
        </w:rPr>
        <w:t xml:space="preserve">As identified by the World Bank (Bourguignon and Sundberg, 2007:316), Aldashev and Verardi (2012:2); Edwards (2014) and Howarth (2017:pp.41-49) that lumping aids and countries in the analysis have fragile, fragmented, often ambiguous, spurious and gives inconclusive results. Hudson (2015:66) concludes that the most important predictor of aid volatility is debt-financed by loans. </w:t>
      </w:r>
      <w:r w:rsidRPr="005A4C7D">
        <w:rPr>
          <w:rFonts w:eastAsia="Arial"/>
          <w:color w:val="141414"/>
        </w:rPr>
        <w:t>Dreher and Lohmann (2015:5)</w:t>
      </w:r>
      <w:r w:rsidRPr="005A4C7D">
        <w:rPr>
          <w:rFonts w:eastAsia="Arial"/>
        </w:rPr>
        <w:t xml:space="preserve"> identify the gap in the literature on aid effectiveness because of the lack of empirical evidence at the country-level</w:t>
      </w:r>
      <w:r w:rsidR="0081742D">
        <w:rPr>
          <w:rFonts w:eastAsia="Arial"/>
        </w:rPr>
        <w:t xml:space="preserve">. </w:t>
      </w:r>
      <w:r w:rsidRPr="005A4C7D">
        <w:rPr>
          <w:rFonts w:eastAsia="Arial"/>
        </w:rPr>
        <w:t xml:space="preserve">Hence, this paper covers </w:t>
      </w:r>
      <w:r w:rsidR="009B0554">
        <w:rPr>
          <w:rFonts w:eastAsia="Arial"/>
          <w:lang w:val="en-US"/>
        </w:rPr>
        <w:t>only</w:t>
      </w:r>
      <w:r w:rsidR="002B2786" w:rsidRPr="005A4C7D">
        <w:rPr>
          <w:rFonts w:eastAsia="Arial"/>
          <w:lang w:val="en-US"/>
        </w:rPr>
        <w:t xml:space="preserve"> </w:t>
      </w:r>
      <w:r w:rsidRPr="005A4C7D">
        <w:rPr>
          <w:rFonts w:eastAsia="Arial"/>
        </w:rPr>
        <w:t>one country (i.e., Indonesia), and one component of aid, which is the ADB loan.</w:t>
      </w:r>
    </w:p>
    <w:p w14:paraId="35868FB4" w14:textId="72AF0B39" w:rsidR="00137F8E" w:rsidRPr="005A4C7D" w:rsidRDefault="00137F8E" w:rsidP="00137F8E">
      <w:pPr>
        <w:spacing w:line="360" w:lineRule="auto"/>
        <w:jc w:val="both"/>
        <w:rPr>
          <w:rFonts w:eastAsia="Arial"/>
        </w:rPr>
      </w:pPr>
    </w:p>
    <w:p w14:paraId="404E8F87" w14:textId="77777777" w:rsidR="00B71C9B" w:rsidRPr="005A4C7D" w:rsidRDefault="00B71C9B" w:rsidP="00137F8E">
      <w:pPr>
        <w:spacing w:line="360" w:lineRule="auto"/>
        <w:jc w:val="both"/>
        <w:rPr>
          <w:rFonts w:eastAsia="Arial"/>
        </w:rPr>
      </w:pPr>
    </w:p>
    <w:p w14:paraId="0643B17A" w14:textId="77777777" w:rsidR="00137F8E" w:rsidRPr="005A4C7D" w:rsidRDefault="00137F8E" w:rsidP="00137F8E">
      <w:pPr>
        <w:spacing w:before="120" w:after="120" w:line="360" w:lineRule="auto"/>
        <w:rPr>
          <w:rFonts w:eastAsia="Arial"/>
          <w:b/>
          <w:sz w:val="28"/>
          <w:szCs w:val="28"/>
        </w:rPr>
      </w:pPr>
      <w:r w:rsidRPr="005A4C7D">
        <w:rPr>
          <w:rFonts w:eastAsia="Arial"/>
          <w:b/>
          <w:sz w:val="28"/>
          <w:szCs w:val="28"/>
        </w:rPr>
        <w:t>METHODS</w:t>
      </w:r>
    </w:p>
    <w:p w14:paraId="6DFC5AED" w14:textId="77777777" w:rsidR="00137F8E" w:rsidRPr="005A4C7D" w:rsidRDefault="00137F8E" w:rsidP="00137F8E">
      <w:pPr>
        <w:keepNext/>
        <w:numPr>
          <w:ilvl w:val="0"/>
          <w:numId w:val="18"/>
        </w:numPr>
        <w:pBdr>
          <w:top w:val="nil"/>
          <w:left w:val="nil"/>
          <w:bottom w:val="nil"/>
          <w:right w:val="nil"/>
          <w:between w:val="nil"/>
        </w:pBdr>
        <w:spacing w:before="240" w:after="240" w:line="360" w:lineRule="auto"/>
        <w:ind w:left="426" w:hanging="426"/>
        <w:jc w:val="both"/>
        <w:rPr>
          <w:rFonts w:eastAsia="Arial"/>
        </w:rPr>
      </w:pPr>
      <w:r w:rsidRPr="005A4C7D">
        <w:rPr>
          <w:rFonts w:eastAsia="Arial"/>
          <w:b/>
        </w:rPr>
        <w:t>Methodology</w:t>
      </w:r>
    </w:p>
    <w:p w14:paraId="05392C7D" w14:textId="0D6F8AC6" w:rsidR="00137F8E" w:rsidRPr="005A4C7D" w:rsidRDefault="00137F8E" w:rsidP="00137F8E">
      <w:pPr>
        <w:spacing w:line="360" w:lineRule="auto"/>
        <w:jc w:val="both"/>
        <w:rPr>
          <w:rFonts w:eastAsia="Arial"/>
        </w:rPr>
      </w:pPr>
      <w:r w:rsidRPr="005A4C7D">
        <w:rPr>
          <w:rFonts w:eastAsia="Arial"/>
          <w:lang w:val="en-US"/>
        </w:rPr>
        <w:t xml:space="preserve">Our </w:t>
      </w:r>
      <w:r w:rsidRPr="005A4C7D">
        <w:rPr>
          <w:rFonts w:eastAsia="Arial"/>
        </w:rPr>
        <w:t>paper uses a novel method identified as Development Outcomes Attribution (DOA) on Bank Outlays Growth On-development Results (BOGOR) (Ingratubun, 2020)</w:t>
      </w:r>
      <w:r w:rsidR="0081742D">
        <w:rPr>
          <w:rFonts w:eastAsia="Arial"/>
        </w:rPr>
        <w:t xml:space="preserve">. </w:t>
      </w:r>
      <w:r w:rsidRPr="005A4C7D">
        <w:rPr>
          <w:rFonts w:eastAsia="Arial"/>
          <w:lang w:val="en-US"/>
        </w:rPr>
        <w:t>Our</w:t>
      </w:r>
      <w:r w:rsidRPr="005A4C7D">
        <w:rPr>
          <w:rFonts w:eastAsia="Arial"/>
        </w:rPr>
        <w:t xml:space="preserve"> method </w:t>
      </w:r>
      <w:r w:rsidRPr="005A4C7D">
        <w:rPr>
          <w:rFonts w:eastAsia="Arial"/>
        </w:rPr>
        <w:lastRenderedPageBreak/>
        <w:t>relies on triangulations—a principle widely used in geodetic and geo-positioning (e.g., GPS) sciences—of the results which give a 3-dimensional view of the outcomes</w:t>
      </w:r>
      <w:r w:rsidR="0081742D">
        <w:rPr>
          <w:rFonts w:eastAsia="Arial"/>
        </w:rPr>
        <w:t xml:space="preserve">. </w:t>
      </w:r>
      <w:r w:rsidRPr="005A4C7D">
        <w:rPr>
          <w:rFonts w:eastAsia="Arial"/>
          <w:lang w:val="en-US"/>
        </w:rPr>
        <w:t>DOA-BOGOR</w:t>
      </w:r>
      <w:r w:rsidRPr="005A4C7D">
        <w:rPr>
          <w:rFonts w:eastAsia="Arial"/>
        </w:rPr>
        <w:t xml:space="preserve"> applies quantitative attribution by treating a scenario of 100% loan disbursement upon LA signing</w:t>
      </w:r>
      <w:r w:rsidRPr="005A4C7D">
        <w:rPr>
          <w:rFonts w:eastAsia="Arial"/>
          <w:vertAlign w:val="superscript"/>
        </w:rPr>
        <w:footnoteReference w:id="11"/>
      </w:r>
      <w:r w:rsidRPr="005A4C7D">
        <w:rPr>
          <w:rFonts w:eastAsia="Arial"/>
        </w:rPr>
        <w:t xml:space="preserve"> in year-1 as the benchmark</w:t>
      </w:r>
      <w:r w:rsidR="0081742D">
        <w:rPr>
          <w:rFonts w:eastAsia="Arial"/>
        </w:rPr>
        <w:t xml:space="preserve">. </w:t>
      </w:r>
      <w:r w:rsidRPr="005A4C7D">
        <w:rPr>
          <w:rFonts w:eastAsia="Arial"/>
          <w:lang w:val="en-US"/>
        </w:rPr>
        <w:t xml:space="preserve">We then compared this </w:t>
      </w:r>
      <w:r w:rsidRPr="005A4C7D">
        <w:rPr>
          <w:rFonts w:eastAsia="Arial"/>
        </w:rPr>
        <w:t>with progressive disbursement based on project S-curve and integrating money creation and their compounded interests and fees from undisbursed amounts, using triangulation of numerical, graphical, and stochastic agent-based modeling (SABM) approaches. The numerical method is arranging data in a time-series and following Figure-</w:t>
      </w:r>
      <w:r w:rsidR="009C34CA" w:rsidRPr="005A4C7D">
        <w:rPr>
          <w:rFonts w:eastAsia="Arial"/>
        </w:rPr>
        <w:t>4</w:t>
      </w:r>
      <w:r w:rsidRPr="005A4C7D">
        <w:rPr>
          <w:rFonts w:eastAsia="Arial"/>
        </w:rPr>
        <w:t>, calculating the impacts o</w:t>
      </w:r>
      <w:r w:rsidR="009C34CA" w:rsidRPr="005A4C7D">
        <w:rPr>
          <w:rFonts w:eastAsia="Arial"/>
        </w:rPr>
        <w:t>f</w:t>
      </w:r>
      <w:r w:rsidRPr="005A4C7D">
        <w:rPr>
          <w:rFonts w:eastAsia="Arial"/>
        </w:rPr>
        <w:t xml:space="preserve"> delays using 100% disbursement in year-1 as the benchmark</w:t>
      </w:r>
      <w:r w:rsidR="0081742D">
        <w:rPr>
          <w:rFonts w:eastAsia="Arial"/>
        </w:rPr>
        <w:t xml:space="preserve">. </w:t>
      </w:r>
      <w:r w:rsidRPr="005A4C7D">
        <w:rPr>
          <w:rFonts w:eastAsia="Arial"/>
        </w:rPr>
        <w:t>The graphical method involves plotting and interpreting the results from the numerical exercise. We then performed simulations under the stochastic Monte-Carlo method blended with agent-based modeling (ABM) simulation which results are cross-referenc</w:t>
      </w:r>
      <w:r w:rsidR="009C34CA" w:rsidRPr="005A4C7D">
        <w:rPr>
          <w:rFonts w:eastAsia="Arial"/>
        </w:rPr>
        <w:t xml:space="preserve">ing </w:t>
      </w:r>
      <w:r w:rsidRPr="005A4C7D">
        <w:rPr>
          <w:rFonts w:eastAsia="Arial"/>
        </w:rPr>
        <w:t>the numerical and graphical results to strengthen the translation of the findings</w:t>
      </w:r>
      <w:r w:rsidR="0081742D">
        <w:rPr>
          <w:rFonts w:eastAsia="Arial"/>
        </w:rPr>
        <w:t xml:space="preserve">. </w:t>
      </w:r>
      <w:r w:rsidRPr="005A4C7D">
        <w:rPr>
          <w:rFonts w:eastAsia="Arial"/>
        </w:rPr>
        <w:t xml:space="preserve"> </w:t>
      </w:r>
    </w:p>
    <w:p w14:paraId="7D6C6A95" w14:textId="77777777" w:rsidR="00137F8E" w:rsidRPr="005A4C7D" w:rsidRDefault="00137F8E" w:rsidP="00137F8E">
      <w:pPr>
        <w:pStyle w:val="Heading2"/>
        <w:numPr>
          <w:ilvl w:val="1"/>
          <w:numId w:val="15"/>
        </w:numPr>
        <w:spacing w:line="360" w:lineRule="auto"/>
        <w:ind w:left="432"/>
        <w:rPr>
          <w:rFonts w:eastAsia="Arial"/>
        </w:rPr>
      </w:pPr>
      <w:r w:rsidRPr="005A4C7D">
        <w:rPr>
          <w:rFonts w:eastAsia="Arial"/>
          <w:sz w:val="24"/>
          <w:szCs w:val="24"/>
        </w:rPr>
        <w:t>The Philosophy of DOA-BOGOR</w:t>
      </w:r>
    </w:p>
    <w:p w14:paraId="4341D8A7" w14:textId="5A45A4C8" w:rsidR="00137F8E" w:rsidRPr="005A4C7D" w:rsidRDefault="00137F8E" w:rsidP="00137F8E">
      <w:pPr>
        <w:spacing w:line="360" w:lineRule="auto"/>
        <w:jc w:val="both"/>
        <w:rPr>
          <w:rFonts w:eastAsia="Arial"/>
        </w:rPr>
      </w:pPr>
      <w:r w:rsidRPr="005A4C7D">
        <w:rPr>
          <w:rFonts w:eastAsia="Arial"/>
          <w:lang w:val="en-US"/>
        </w:rPr>
        <w:t>We define a</w:t>
      </w:r>
      <w:r w:rsidRPr="005A4C7D">
        <w:rPr>
          <w:rFonts w:eastAsia="Arial"/>
        </w:rPr>
        <w:t xml:space="preserve">ttribution </w:t>
      </w:r>
      <w:r w:rsidRPr="005A4C7D">
        <w:rPr>
          <w:rFonts w:eastAsia="Arial"/>
          <w:lang w:val="en-US"/>
        </w:rPr>
        <w:t>in</w:t>
      </w:r>
      <w:r w:rsidRPr="005A4C7D">
        <w:rPr>
          <w:rFonts w:eastAsia="Arial"/>
        </w:rPr>
        <w:t xml:space="preserve"> DOA as taking a slice of economic development (i.e., preferably current GDP) indicators and examining their compositions most relevant to the project/program, assessing and understanding their outcome apportionments to the source of funding which in this paper are ADB loans. As an illustration, in a slice of </w:t>
      </w:r>
      <w:r w:rsidRPr="00B6611F">
        <w:rPr>
          <w:rFonts w:eastAsia="Arial"/>
          <w:i/>
          <w:iCs/>
        </w:rPr>
        <w:t>white</w:t>
      </w:r>
      <w:r w:rsidRPr="005A4C7D">
        <w:rPr>
          <w:rFonts w:eastAsia="Arial"/>
        </w:rPr>
        <w:t xml:space="preserve"> bread, equally sized and weighted, one can get 3-gram sugar, 2-gram protein, and zero-gram fiber whilst in a slice of </w:t>
      </w:r>
      <w:r w:rsidRPr="00B6611F">
        <w:rPr>
          <w:rFonts w:eastAsia="Arial"/>
          <w:i/>
          <w:iCs/>
        </w:rPr>
        <w:t>brown</w:t>
      </w:r>
      <w:r w:rsidRPr="005A4C7D">
        <w:rPr>
          <w:rFonts w:eastAsia="Arial"/>
        </w:rPr>
        <w:t xml:space="preserve"> bread, 2-gram, 3-gram, and 2-gram respectively</w:t>
      </w:r>
      <w:r w:rsidR="0081742D">
        <w:rPr>
          <w:rFonts w:eastAsia="Arial"/>
        </w:rPr>
        <w:t xml:space="preserve">. </w:t>
      </w:r>
      <w:r w:rsidRPr="005A4C7D">
        <w:rPr>
          <w:rFonts w:eastAsia="Arial"/>
        </w:rPr>
        <w:t>Thicker or thinner slices produce different configurations</w:t>
      </w:r>
      <w:r w:rsidR="0081742D">
        <w:rPr>
          <w:rFonts w:eastAsia="Arial"/>
        </w:rPr>
        <w:t xml:space="preserve">. </w:t>
      </w:r>
      <w:r w:rsidRPr="005A4C7D">
        <w:rPr>
          <w:rFonts w:eastAsia="Arial"/>
        </w:rPr>
        <w:t>Likewise, in the GDP of Indonesia (a loaf of white bread), from which loaf</w:t>
      </w:r>
      <w:r w:rsidRPr="005A4C7D">
        <w:rPr>
          <w:rFonts w:eastAsia="Arial"/>
          <w:lang w:val="en-US"/>
        </w:rPr>
        <w:t xml:space="preserve"> one extracts</w:t>
      </w:r>
      <w:r w:rsidRPr="005A4C7D">
        <w:rPr>
          <w:rFonts w:eastAsia="Arial"/>
        </w:rPr>
        <w:t xml:space="preserve"> a slice thereof </w:t>
      </w:r>
      <w:r w:rsidRPr="005A4C7D">
        <w:rPr>
          <w:rFonts w:eastAsia="Arial"/>
          <w:lang w:val="en-US"/>
        </w:rPr>
        <w:t xml:space="preserve">that is the </w:t>
      </w:r>
      <w:r w:rsidRPr="005A4C7D">
        <w:rPr>
          <w:rFonts w:eastAsia="Arial"/>
        </w:rPr>
        <w:t>ADB loans</w:t>
      </w:r>
      <w:r w:rsidR="0081742D">
        <w:rPr>
          <w:rFonts w:eastAsia="Arial"/>
        </w:rPr>
        <w:t xml:space="preserve">. </w:t>
      </w:r>
      <w:r w:rsidRPr="005A4C7D">
        <w:rPr>
          <w:rFonts w:eastAsia="Arial"/>
        </w:rPr>
        <w:t>From the loaf, using these equations,</w:t>
      </w:r>
    </w:p>
    <w:p w14:paraId="502168B1" w14:textId="77777777" w:rsidR="00137F8E" w:rsidRPr="005A4C7D" w:rsidRDefault="00137F8E" w:rsidP="00137F8E">
      <w:pPr>
        <w:jc w:val="both"/>
        <w:rPr>
          <w:rFonts w:eastAsia="Arial"/>
          <w:b/>
          <w:bCs/>
        </w:rPr>
      </w:pPr>
    </w:p>
    <w:bookmarkStart w:id="0" w:name="_Hlk60282352"/>
    <w:p w14:paraId="2CBA28F7" w14:textId="41917A35" w:rsidR="00137F8E" w:rsidRPr="005A4C7D" w:rsidRDefault="009A4812" w:rsidP="00137F8E">
      <w:pPr>
        <w:jc w:val="right"/>
        <w:rPr>
          <w:i/>
        </w:rPr>
      </w:pPr>
      <m:oMath>
        <m:sSub>
          <m:sSubPr>
            <m:ctrlPr>
              <w:rPr>
                <w:rFonts w:ascii="Cambria Math" w:eastAsiaTheme="minorEastAsia" w:hAnsi="Cambria Math"/>
                <w:i/>
                <w:lang w:eastAsia="en-US"/>
              </w:rPr>
            </m:ctrlPr>
          </m:sSubPr>
          <m:e>
            <m:r>
              <w:rPr>
                <w:rFonts w:ascii="Cambria Math" w:eastAsiaTheme="minorEastAsia" w:hAnsi="Cambria Math"/>
              </w:rPr>
              <m:t>x</m:t>
            </m:r>
          </m:e>
          <m:sub>
            <m:r>
              <w:rPr>
                <w:rFonts w:ascii="Cambria Math" w:eastAsiaTheme="minorEastAsia" w:hAnsi="Cambria Math"/>
              </w:rPr>
              <m:t>n</m:t>
            </m:r>
          </m:sub>
        </m:sSub>
        <m:r>
          <w:rPr>
            <w:rFonts w:ascii="Cambria Math" w:hAnsi="Cambria Math"/>
          </w:rPr>
          <m:t>=</m:t>
        </m:r>
        <m:sSub>
          <m:sSubPr>
            <m:ctrlPr>
              <w:rPr>
                <w:rFonts w:ascii="Cambria Math" w:eastAsiaTheme="minorHAnsi" w:hAnsi="Cambria Math"/>
                <w:i/>
                <w:sz w:val="22"/>
                <w:szCs w:val="22"/>
                <w:lang w:eastAsia="en-US"/>
              </w:rPr>
            </m:ctrlPr>
          </m:sSubPr>
          <m:e>
            <m:d>
              <m:dPr>
                <m:ctrlPr>
                  <w:rPr>
                    <w:rFonts w:ascii="Cambria Math" w:eastAsiaTheme="minorEastAsia" w:hAnsi="Cambria Math"/>
                    <w:i/>
                    <w:noProof/>
                    <w:lang w:eastAsia="en-US"/>
                  </w:rPr>
                </m:ctrlPr>
              </m:dPr>
              <m:e>
                <m:f>
                  <m:fPr>
                    <m:type m:val="skw"/>
                    <m:ctrlPr>
                      <w:rPr>
                        <w:rFonts w:ascii="Cambria Math" w:eastAsiaTheme="minorEastAsia" w:hAnsi="Cambria Math"/>
                        <w:i/>
                        <w:noProof/>
                        <w:lang w:eastAsia="en-US"/>
                      </w:rPr>
                    </m:ctrlPr>
                  </m:fPr>
                  <m:num>
                    <m:r>
                      <w:rPr>
                        <w:rFonts w:ascii="Cambria Math" w:eastAsiaTheme="minorEastAsia" w:hAnsi="Cambria Math"/>
                        <w:noProof/>
                      </w:rPr>
                      <m:t>A</m:t>
                    </m:r>
                  </m:num>
                  <m:den>
                    <m:r>
                      <w:rPr>
                        <w:rFonts w:ascii="Cambria Math" w:eastAsiaTheme="minorEastAsia" w:hAnsi="Cambria Math"/>
                        <w:noProof/>
                      </w:rPr>
                      <m:t>u</m:t>
                    </m:r>
                  </m:den>
                </m:f>
              </m:e>
            </m:d>
          </m:e>
          <m:sub>
            <m:r>
              <w:rPr>
                <w:rFonts w:ascii="Cambria Math" w:hAnsi="Cambria Math"/>
              </w:rPr>
              <m:t>n</m:t>
            </m:r>
          </m:sub>
        </m:sSub>
      </m:oMath>
      <w:r w:rsidR="009C34CA" w:rsidRPr="005A4C7D">
        <w:rPr>
          <w:i/>
          <w:lang w:eastAsia="en-US"/>
        </w:rPr>
        <w:tab/>
      </w:r>
      <w:r w:rsidR="00106913">
        <w:rPr>
          <w:i/>
          <w:lang w:eastAsia="en-US"/>
        </w:rPr>
        <w:t>...</w:t>
      </w:r>
      <w:r w:rsidR="00137F8E" w:rsidRPr="005A4C7D">
        <w:rPr>
          <w:i/>
        </w:rPr>
        <w:tab/>
      </w:r>
      <w:r w:rsidR="00137F8E" w:rsidRPr="005A4C7D">
        <w:rPr>
          <w:i/>
          <w:lang w:eastAsia="en-US"/>
        </w:rPr>
        <w:tab/>
        <w:t>..</w:t>
      </w:r>
      <w:r w:rsidR="00137F8E" w:rsidRPr="005A4C7D">
        <w:rPr>
          <w:i/>
        </w:rPr>
        <w:t>. (1)</w:t>
      </w:r>
    </w:p>
    <w:p w14:paraId="7CC25D53" w14:textId="77777777" w:rsidR="00137F8E" w:rsidRPr="005A4C7D" w:rsidRDefault="00137F8E" w:rsidP="00137F8E">
      <w:pPr>
        <w:jc w:val="right"/>
        <w:rPr>
          <w:i/>
        </w:rPr>
      </w:pPr>
    </w:p>
    <w:p w14:paraId="478331F0" w14:textId="77777777" w:rsidR="00137F8E" w:rsidRPr="005A4C7D" w:rsidRDefault="009A4812" w:rsidP="00137F8E">
      <w:pPr>
        <w:jc w:val="right"/>
        <w:rPr>
          <w:i/>
        </w:rPr>
      </w:pPr>
      <m:oMath>
        <m:acc>
          <m:accPr>
            <m:chr m:val="̅"/>
            <m:ctrlPr>
              <w:rPr>
                <w:rFonts w:ascii="Cambria Math" w:eastAsiaTheme="minorHAnsi" w:hAnsi="Cambria Math"/>
                <w:i/>
                <w:lang w:eastAsia="en-US"/>
              </w:rPr>
            </m:ctrlPr>
          </m:accPr>
          <m:e>
            <m:r>
              <w:rPr>
                <w:rFonts w:ascii="Cambria Math" w:hAnsi="Cambria Math"/>
              </w:rPr>
              <m:t>x</m:t>
            </m:r>
          </m:e>
        </m:acc>
        <m:r>
          <w:rPr>
            <w:rFonts w:ascii="Cambria Math" w:hAnsi="Cambria Math"/>
          </w:rPr>
          <m:t>=</m:t>
        </m:r>
        <m:f>
          <m:fPr>
            <m:type m:val="skw"/>
            <m:ctrlPr>
              <w:rPr>
                <w:rFonts w:ascii="Cambria Math" w:hAnsi="Cambria Math"/>
                <w:i/>
              </w:rPr>
            </m:ctrlPr>
          </m:fPr>
          <m:num>
            <m:d>
              <m:dPr>
                <m:ctrlPr>
                  <w:rPr>
                    <w:rFonts w:ascii="Cambria Math" w:hAnsi="Cambria Math"/>
                    <w:i/>
                  </w:rPr>
                </m:ctrlPr>
              </m:dPr>
              <m:e>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1</m:t>
                        </m:r>
                      </m:sub>
                      <m:sup>
                        <m:r>
                          <w:rPr>
                            <w:rFonts w:ascii="Cambria Math" w:hAnsi="Cambria Math"/>
                          </w:rPr>
                          <m:t>n</m:t>
                        </m:r>
                      </m:sup>
                      <m:e>
                        <m:r>
                          <w:rPr>
                            <w:rFonts w:ascii="Cambria Math" w:eastAsiaTheme="minorEastAsia" w:hAnsi="Cambria Math"/>
                            <w:noProof/>
                          </w:rPr>
                          <m:t>f</m:t>
                        </m:r>
                        <m:d>
                          <m:dPr>
                            <m:ctrlPr>
                              <w:rPr>
                                <w:rFonts w:ascii="Cambria Math" w:eastAsiaTheme="minorEastAsia" w:hAnsi="Cambria Math"/>
                                <w:i/>
                                <w:noProof/>
                                <w:sz w:val="22"/>
                                <w:szCs w:val="22"/>
                                <w:lang w:eastAsia="en-US"/>
                              </w:rPr>
                            </m:ctrlPr>
                          </m:dPr>
                          <m:e>
                            <m:sSub>
                              <m:sSubPr>
                                <m:ctrlPr>
                                  <w:rPr>
                                    <w:rFonts w:ascii="Cambria Math" w:eastAsiaTheme="minorEastAsia" w:hAnsi="Cambria Math"/>
                                    <w:i/>
                                    <w:lang w:eastAsia="en-US"/>
                                  </w:rPr>
                                </m:ctrlPr>
                              </m:sSubPr>
                              <m:e>
                                <m:r>
                                  <w:rPr>
                                    <w:rFonts w:ascii="Cambria Math" w:eastAsiaTheme="minorEastAsia" w:hAnsi="Cambria Math"/>
                                  </w:rPr>
                                  <m:t>x</m:t>
                                </m:r>
                              </m:e>
                              <m:sub>
                                <m:r>
                                  <w:rPr>
                                    <w:rFonts w:ascii="Cambria Math" w:eastAsiaTheme="minorEastAsia" w:hAnsi="Cambria Math"/>
                                  </w:rPr>
                                  <m:t>n</m:t>
                                </m:r>
                              </m:sub>
                            </m:sSub>
                          </m:e>
                        </m:d>
                        <m:r>
                          <w:rPr>
                            <w:rFonts w:ascii="Cambria Math" w:eastAsiaTheme="minorEastAsia" w:hAnsi="Cambria Math"/>
                            <w:noProof/>
                            <w:sz w:val="22"/>
                            <w:szCs w:val="22"/>
                            <w:lang w:eastAsia="en-US"/>
                          </w:rPr>
                          <m:t xml:space="preserve"> </m:t>
                        </m:r>
                      </m:e>
                    </m:nary>
                  </m:num>
                  <m:den>
                    <m:r>
                      <w:rPr>
                        <w:rFonts w:ascii="Cambria Math" w:hAnsi="Cambria Math"/>
                      </w:rPr>
                      <m:t>n</m:t>
                    </m:r>
                  </m:den>
                </m:f>
              </m:e>
            </m:d>
          </m:num>
          <m:den>
            <m:acc>
              <m:accPr>
                <m:chr m:val="̅"/>
                <m:ctrlPr>
                  <w:rPr>
                    <w:rFonts w:ascii="Cambria Math" w:eastAsiaTheme="minorEastAsia" w:hAnsi="Cambria Math"/>
                    <w:i/>
                    <w:noProof/>
                  </w:rPr>
                </m:ctrlPr>
              </m:accPr>
              <m:e>
                <m:r>
                  <w:rPr>
                    <w:rFonts w:ascii="Cambria Math" w:eastAsiaTheme="minorEastAsia" w:hAnsi="Cambria Math"/>
                    <w:noProof/>
                  </w:rPr>
                  <m:t>u</m:t>
                </m:r>
              </m:e>
            </m:acc>
          </m:den>
        </m:f>
        <m:r>
          <w:rPr>
            <w:rFonts w:ascii="Cambria Math" w:hAnsi="Cambria Math"/>
          </w:rPr>
          <m:t>=</m:t>
        </m:r>
        <m:f>
          <m:fPr>
            <m:type m:val="skw"/>
            <m:ctrlPr>
              <w:rPr>
                <w:rFonts w:ascii="Cambria Math" w:eastAsiaTheme="minorHAnsi" w:hAnsi="Cambria Math"/>
                <w:i/>
                <w:lang w:eastAsia="en-US"/>
              </w:rPr>
            </m:ctrlPr>
          </m:fPr>
          <m:num>
            <m:d>
              <m:dPr>
                <m:ctrlPr>
                  <w:rPr>
                    <w:rFonts w:ascii="Cambria Math" w:eastAsiaTheme="minorHAnsi" w:hAnsi="Cambria Math"/>
                    <w:i/>
                    <w:lang w:eastAsia="en-US"/>
                  </w:rPr>
                </m:ctrlPr>
              </m:dPr>
              <m:e>
                <m:f>
                  <m:fPr>
                    <m:ctrlPr>
                      <w:rPr>
                        <w:rFonts w:ascii="Cambria Math" w:eastAsiaTheme="minorEastAsia" w:hAnsi="Cambria Math"/>
                        <w:i/>
                        <w:noProof/>
                        <w:lang w:eastAsia="en-US"/>
                      </w:rPr>
                    </m:ctrlPr>
                  </m:fPr>
                  <m:num>
                    <m:nary>
                      <m:naryPr>
                        <m:chr m:val="∑"/>
                        <m:limLoc m:val="undOvr"/>
                        <m:ctrlPr>
                          <w:rPr>
                            <w:rFonts w:ascii="Cambria Math" w:eastAsiaTheme="minorEastAsia" w:hAnsi="Cambria Math"/>
                            <w:i/>
                            <w:noProof/>
                            <w:lang w:eastAsia="en-US"/>
                          </w:rPr>
                        </m:ctrlPr>
                      </m:naryPr>
                      <m:sub>
                        <m:r>
                          <w:rPr>
                            <w:rFonts w:ascii="Cambria Math" w:eastAsiaTheme="minorEastAsia" w:hAnsi="Cambria Math"/>
                            <w:noProof/>
                          </w:rPr>
                          <m:t>1</m:t>
                        </m:r>
                      </m:sub>
                      <m:sup>
                        <m:r>
                          <w:rPr>
                            <w:rFonts w:ascii="Cambria Math" w:eastAsiaTheme="minorEastAsia" w:hAnsi="Cambria Math"/>
                            <w:noProof/>
                          </w:rPr>
                          <m:t>n</m:t>
                        </m:r>
                      </m:sup>
                      <m:e>
                        <m:d>
                          <m:dPr>
                            <m:ctrlPr>
                              <w:rPr>
                                <w:rFonts w:ascii="Cambria Math" w:eastAsiaTheme="minorEastAsia" w:hAnsi="Cambria Math"/>
                                <w:i/>
                                <w:noProof/>
                                <w:lang w:eastAsia="en-US"/>
                              </w:rPr>
                            </m:ctrlPr>
                          </m:dPr>
                          <m:e>
                            <m:f>
                              <m:fPr>
                                <m:type m:val="skw"/>
                                <m:ctrlPr>
                                  <w:rPr>
                                    <w:rFonts w:ascii="Cambria Math" w:eastAsiaTheme="minorEastAsia" w:hAnsi="Cambria Math"/>
                                    <w:i/>
                                    <w:noProof/>
                                    <w:lang w:eastAsia="en-US"/>
                                  </w:rPr>
                                </m:ctrlPr>
                              </m:fPr>
                              <m:num>
                                <m:r>
                                  <w:rPr>
                                    <w:rFonts w:ascii="Cambria Math" w:eastAsiaTheme="minorEastAsia" w:hAnsi="Cambria Math"/>
                                    <w:noProof/>
                                  </w:rPr>
                                  <m:t>A</m:t>
                                </m:r>
                              </m:num>
                              <m:den>
                                <m:r>
                                  <w:rPr>
                                    <w:rFonts w:ascii="Cambria Math" w:eastAsiaTheme="minorEastAsia" w:hAnsi="Cambria Math"/>
                                    <w:noProof/>
                                  </w:rPr>
                                  <m:t>u</m:t>
                                </m:r>
                              </m:den>
                            </m:f>
                          </m:e>
                        </m:d>
                      </m:e>
                    </m:nary>
                  </m:num>
                  <m:den>
                    <m:r>
                      <w:rPr>
                        <w:rFonts w:ascii="Cambria Math" w:eastAsiaTheme="minorEastAsia" w:hAnsi="Cambria Math"/>
                        <w:noProof/>
                      </w:rPr>
                      <m:t>n</m:t>
                    </m:r>
                  </m:den>
                </m:f>
              </m:e>
            </m:d>
          </m:num>
          <m:den>
            <m:acc>
              <m:accPr>
                <m:chr m:val="̅"/>
                <m:ctrlPr>
                  <w:rPr>
                    <w:rFonts w:ascii="Cambria Math" w:eastAsiaTheme="minorEastAsia" w:hAnsi="Cambria Math"/>
                    <w:i/>
                    <w:noProof/>
                    <w:lang w:eastAsia="en-US"/>
                  </w:rPr>
                </m:ctrlPr>
              </m:accPr>
              <m:e>
                <m:r>
                  <w:rPr>
                    <w:rFonts w:ascii="Cambria Math" w:eastAsiaTheme="minorEastAsia" w:hAnsi="Cambria Math"/>
                    <w:noProof/>
                  </w:rPr>
                  <m:t>u</m:t>
                </m:r>
              </m:e>
            </m:acc>
          </m:den>
        </m:f>
      </m:oMath>
      <w:r w:rsidR="00137F8E" w:rsidRPr="005A4C7D">
        <w:rPr>
          <w:i/>
        </w:rPr>
        <w:tab/>
      </w:r>
      <w:r w:rsidR="00137F8E" w:rsidRPr="005A4C7D">
        <w:rPr>
          <w:i/>
        </w:rPr>
        <w:tab/>
      </w:r>
      <w:r w:rsidR="00137F8E" w:rsidRPr="005A4C7D">
        <w:rPr>
          <w:i/>
        </w:rPr>
        <w:tab/>
      </w:r>
      <w:r w:rsidR="00137F8E" w:rsidRPr="005A4C7D">
        <w:rPr>
          <w:i/>
        </w:rPr>
        <w:tab/>
      </w:r>
      <w:r w:rsidR="00137F8E" w:rsidRPr="005A4C7D">
        <w:rPr>
          <w:i/>
        </w:rPr>
        <w:tab/>
        <w:t>... (2)</w:t>
      </w:r>
    </w:p>
    <w:p w14:paraId="0F1F9689" w14:textId="77777777" w:rsidR="00137F8E" w:rsidRPr="005A4C7D" w:rsidRDefault="00137F8E" w:rsidP="00137F8E">
      <w:pPr>
        <w:jc w:val="right"/>
      </w:pPr>
    </w:p>
    <w:p w14:paraId="49DED126" w14:textId="77777777" w:rsidR="00137F8E" w:rsidRPr="005A4C7D" w:rsidRDefault="00137F8E" w:rsidP="00137F8E">
      <w:pPr>
        <w:ind w:left="709" w:right="828" w:hanging="709"/>
        <w:jc w:val="both"/>
        <w:rPr>
          <w:rFonts w:eastAsiaTheme="minorEastAsia"/>
          <w:i/>
          <w:iCs/>
          <w:noProof/>
        </w:rPr>
      </w:pPr>
      <w:r w:rsidRPr="005A4C7D">
        <w:rPr>
          <w:rFonts w:eastAsiaTheme="minorEastAsia"/>
          <w:i/>
          <w:iCs/>
          <w:noProof/>
        </w:rPr>
        <w:t xml:space="preserve">where: </w:t>
      </w:r>
      <m:oMath>
        <m:sSub>
          <m:sSubPr>
            <m:ctrlPr>
              <w:rPr>
                <w:rFonts w:ascii="Cambria Math" w:eastAsiaTheme="minorEastAsia" w:hAnsi="Cambria Math"/>
                <w:i/>
                <w:iCs/>
                <w:lang w:eastAsia="en-US"/>
              </w:rPr>
            </m:ctrlPr>
          </m:sSubPr>
          <m:e>
            <m:r>
              <w:rPr>
                <w:rFonts w:ascii="Cambria Math" w:eastAsiaTheme="minorEastAsia" w:hAnsi="Cambria Math"/>
              </w:rPr>
              <m:t>x</m:t>
            </m:r>
          </m:e>
          <m:sub>
            <m:r>
              <w:rPr>
                <w:rFonts w:ascii="Cambria Math" w:eastAsiaTheme="minorEastAsia" w:hAnsi="Cambria Math"/>
              </w:rPr>
              <m:t>n</m:t>
            </m:r>
          </m:sub>
        </m:sSub>
      </m:oMath>
      <w:r w:rsidRPr="005A4C7D">
        <w:rPr>
          <w:rFonts w:eastAsiaTheme="minorEastAsia"/>
          <w:i/>
          <w:iCs/>
          <w:noProof/>
          <w:lang w:eastAsia="en-US"/>
        </w:rPr>
        <w:t xml:space="preserve">= Annual unemployment attributor; </w:t>
      </w:r>
      <m:oMath>
        <m:acc>
          <m:accPr>
            <m:chr m:val="̅"/>
            <m:ctrlPr>
              <w:rPr>
                <w:rFonts w:ascii="Cambria Math" w:eastAsiaTheme="minorEastAsia" w:hAnsi="Cambria Math"/>
                <w:i/>
                <w:iCs/>
                <w:noProof/>
                <w:lang w:eastAsia="en-US"/>
              </w:rPr>
            </m:ctrlPr>
          </m:accPr>
          <m:e>
            <m:r>
              <w:rPr>
                <w:rFonts w:ascii="Cambria Math" w:eastAsiaTheme="minorEastAsia" w:hAnsi="Cambria Math"/>
                <w:noProof/>
              </w:rPr>
              <m:t>x</m:t>
            </m:r>
          </m:e>
        </m:acc>
      </m:oMath>
      <w:r w:rsidRPr="005A4C7D">
        <w:rPr>
          <w:rFonts w:eastAsiaTheme="minorEastAsia"/>
          <w:i/>
          <w:iCs/>
          <w:noProof/>
        </w:rPr>
        <w:t xml:space="preserve"> = Overall unemployment attributor; A = ADB loans; u = unemployment; </w:t>
      </w:r>
      <m:oMath>
        <m:acc>
          <m:accPr>
            <m:chr m:val="̅"/>
            <m:ctrlPr>
              <w:rPr>
                <w:rFonts w:ascii="Cambria Math" w:eastAsiaTheme="minorEastAsia" w:hAnsi="Cambria Math"/>
                <w:i/>
                <w:iCs/>
                <w:noProof/>
                <w:lang w:eastAsia="en-US"/>
              </w:rPr>
            </m:ctrlPr>
          </m:accPr>
          <m:e>
            <m:r>
              <w:rPr>
                <w:rFonts w:ascii="Cambria Math" w:eastAsiaTheme="minorEastAsia" w:hAnsi="Cambria Math"/>
                <w:noProof/>
              </w:rPr>
              <m:t>u</m:t>
            </m:r>
          </m:e>
        </m:acc>
      </m:oMath>
      <w:r w:rsidRPr="005A4C7D">
        <w:rPr>
          <w:rFonts w:eastAsiaTheme="minorEastAsia"/>
          <w:i/>
          <w:iCs/>
          <w:noProof/>
        </w:rPr>
        <w:t xml:space="preserve"> = mean unemployment</w:t>
      </w:r>
    </w:p>
    <w:bookmarkEnd w:id="0"/>
    <w:p w14:paraId="040A6E4F" w14:textId="77777777" w:rsidR="00137F8E" w:rsidRPr="005A4C7D" w:rsidRDefault="00137F8E" w:rsidP="00137F8E">
      <w:pPr>
        <w:ind w:left="1134" w:hanging="414"/>
        <w:rPr>
          <w:rFonts w:eastAsia="Arial"/>
        </w:rPr>
      </w:pPr>
    </w:p>
    <w:p w14:paraId="1F367576" w14:textId="024838F9" w:rsidR="00137F8E" w:rsidRPr="005A4C7D" w:rsidRDefault="00137F8E" w:rsidP="00137F8E">
      <w:pPr>
        <w:spacing w:line="360" w:lineRule="auto"/>
        <w:jc w:val="both"/>
        <w:rPr>
          <w:rFonts w:eastAsia="Arial"/>
        </w:rPr>
      </w:pPr>
      <w:r w:rsidRPr="005A4C7D">
        <w:rPr>
          <w:rFonts w:eastAsia="Arial"/>
          <w:lang w:val="en-US"/>
        </w:rPr>
        <w:t>We</w:t>
      </w:r>
      <w:r w:rsidRPr="005A4C7D">
        <w:rPr>
          <w:rFonts w:eastAsia="Arial"/>
        </w:rPr>
        <w:t xml:space="preserve"> get an average value (1969-2017) on an annual project basis of 0.127 unemployment level over average unemployment of 4.053 hence, ADB loans slice attributes a 3.13% unemployment of Indonesia (Appendix-B). This means ADB loans—with an average of 0.415</w:t>
      </w:r>
      <w:r w:rsidR="0081742D">
        <w:rPr>
          <w:rFonts w:eastAsia="Arial"/>
        </w:rPr>
        <w:t>%-GDP</w:t>
      </w:r>
      <w:r w:rsidRPr="005A4C7D">
        <w:rPr>
          <w:rFonts w:eastAsia="Arial"/>
        </w:rPr>
        <w:t>—</w:t>
      </w:r>
      <w:r w:rsidRPr="005A4C7D">
        <w:rPr>
          <w:rFonts w:eastAsia="Arial"/>
        </w:rPr>
        <w:lastRenderedPageBreak/>
        <w:t>attributes to about 3% of unemployment</w:t>
      </w:r>
      <w:r w:rsidR="0081742D">
        <w:rPr>
          <w:rFonts w:eastAsia="Arial"/>
        </w:rPr>
        <w:t xml:space="preserve">. </w:t>
      </w:r>
      <w:r w:rsidRPr="005A4C7D">
        <w:rPr>
          <w:rFonts w:eastAsia="Arial"/>
        </w:rPr>
        <w:t xml:space="preserve">We </w:t>
      </w:r>
      <w:r w:rsidR="00F6136C" w:rsidRPr="005A4C7D">
        <w:rPr>
          <w:rFonts w:eastAsia="Arial"/>
          <w:lang w:val="en-US"/>
        </w:rPr>
        <w:t>t</w:t>
      </w:r>
      <w:r w:rsidRPr="005A4C7D">
        <w:rPr>
          <w:rFonts w:eastAsia="Arial"/>
        </w:rPr>
        <w:t>erm this as an unemployment attributor</w:t>
      </w:r>
      <w:r w:rsidR="0081742D">
        <w:rPr>
          <w:rFonts w:eastAsia="Arial"/>
        </w:rPr>
        <w:t xml:space="preserve">. </w:t>
      </w:r>
      <w:r w:rsidRPr="005A4C7D">
        <w:rPr>
          <w:rFonts w:eastAsia="Arial"/>
        </w:rPr>
        <w:t>Likewise, an equal slice of brown bread (ADB loans in a different country) will produce different results. Figure-4 below illustrates the basic mechanics of DOA-BOGOR.</w:t>
      </w:r>
    </w:p>
    <w:p w14:paraId="07450284" w14:textId="77777777" w:rsidR="00137F8E" w:rsidRPr="005A4C7D" w:rsidRDefault="00137F8E" w:rsidP="00137F8E">
      <w:pPr>
        <w:jc w:val="both"/>
        <w:rPr>
          <w:rFonts w:eastAsia="Arial"/>
          <w:sz w:val="8"/>
          <w:szCs w:val="8"/>
        </w:rPr>
      </w:pPr>
    </w:p>
    <w:p w14:paraId="7D7E42D6" w14:textId="77777777" w:rsidR="00137F8E" w:rsidRPr="005A4C7D" w:rsidRDefault="00137F8E" w:rsidP="00137F8E">
      <w:pPr>
        <w:jc w:val="both"/>
        <w:rPr>
          <w:rFonts w:eastAsia="Arial"/>
          <w:sz w:val="8"/>
          <w:szCs w:val="8"/>
        </w:rPr>
      </w:pPr>
    </w:p>
    <w:p w14:paraId="6FD7177B" w14:textId="77777777" w:rsidR="00137F8E" w:rsidRPr="005A4C7D" w:rsidRDefault="00137F8E" w:rsidP="00137F8E">
      <w:pPr>
        <w:pStyle w:val="Heading2"/>
        <w:numPr>
          <w:ilvl w:val="1"/>
          <w:numId w:val="15"/>
        </w:numPr>
        <w:spacing w:line="360" w:lineRule="auto"/>
        <w:ind w:left="709" w:hanging="709"/>
        <w:rPr>
          <w:rFonts w:eastAsia="Arial"/>
        </w:rPr>
      </w:pPr>
      <w:r w:rsidRPr="005A4C7D">
        <w:rPr>
          <w:rFonts w:eastAsia="Arial"/>
          <w:sz w:val="24"/>
          <w:szCs w:val="24"/>
        </w:rPr>
        <w:t>Description</w:t>
      </w:r>
    </w:p>
    <w:p w14:paraId="29ACC0BF" w14:textId="14AED1C2" w:rsidR="00137F8E" w:rsidRPr="005A4C7D" w:rsidRDefault="00137F8E" w:rsidP="00137F8E">
      <w:pPr>
        <w:spacing w:line="360" w:lineRule="auto"/>
        <w:jc w:val="both"/>
        <w:rPr>
          <w:rFonts w:eastAsia="Arial"/>
        </w:rPr>
      </w:pPr>
      <w:r w:rsidRPr="005A4C7D">
        <w:rPr>
          <w:rFonts w:eastAsia="Arial"/>
          <w:lang w:val="en-US"/>
        </w:rPr>
        <w:t>In</w:t>
      </w:r>
      <w:r w:rsidRPr="005A4C7D">
        <w:rPr>
          <w:rFonts w:eastAsia="Arial"/>
        </w:rPr>
        <w:t xml:space="preserve"> this paper,</w:t>
      </w:r>
      <w:r w:rsidRPr="005A4C7D">
        <w:rPr>
          <w:rFonts w:eastAsia="Arial"/>
          <w:lang w:val="en-US"/>
        </w:rPr>
        <w:t xml:space="preserve"> we quantitatively measured </w:t>
      </w:r>
      <w:r w:rsidRPr="005A4C7D">
        <w:rPr>
          <w:rFonts w:eastAsia="Arial"/>
        </w:rPr>
        <w:t xml:space="preserve">unemployment as an attributor as ADB loans outlay progress following S-curve profiles until they reach 100% (BOGOR). The financial costs of delays (e.g., circa 30% and 250% for LF and FRB respectively) after being monetized </w:t>
      </w:r>
      <w:r w:rsidRPr="005A4C7D">
        <w:rPr>
          <w:rFonts w:eastAsia="Arial"/>
          <w:lang w:val="en-US"/>
        </w:rPr>
        <w:t xml:space="preserve">we </w:t>
      </w:r>
      <w:r w:rsidRPr="005A4C7D">
        <w:rPr>
          <w:rFonts w:eastAsia="Arial"/>
        </w:rPr>
        <w:t>endogenize</w:t>
      </w:r>
      <w:r w:rsidR="007154F1">
        <w:rPr>
          <w:rFonts w:eastAsia="Arial"/>
          <w:lang w:val="en-US"/>
        </w:rPr>
        <w:t>d</w:t>
      </w:r>
      <w:r w:rsidRPr="005A4C7D">
        <w:rPr>
          <w:rFonts w:eastAsia="Arial"/>
          <w:lang w:val="en-US"/>
        </w:rPr>
        <w:t xml:space="preserve"> them</w:t>
      </w:r>
      <w:r w:rsidRPr="005A4C7D">
        <w:rPr>
          <w:rFonts w:eastAsia="Arial"/>
        </w:rPr>
        <w:t xml:space="preserve"> as Indonesia’s capital in the BOG</w:t>
      </w:r>
      <w:r w:rsidR="009B0554">
        <w:rPr>
          <w:rFonts w:eastAsia="Arial"/>
          <w:lang w:val="en-US"/>
        </w:rPr>
        <w:t>’</w:t>
      </w:r>
      <w:r w:rsidRPr="005A4C7D">
        <w:rPr>
          <w:rFonts w:eastAsia="Arial"/>
        </w:rPr>
        <w:t xml:space="preserve">R. </w:t>
      </w:r>
      <w:r w:rsidRPr="005A4C7D">
        <w:rPr>
          <w:rFonts w:eastAsia="Arial"/>
          <w:lang w:val="en-US"/>
        </w:rPr>
        <w:t xml:space="preserve">This means we benchmark </w:t>
      </w:r>
      <w:r w:rsidRPr="005A4C7D">
        <w:rPr>
          <w:rFonts w:eastAsia="Arial"/>
        </w:rPr>
        <w:t xml:space="preserve">the costs of delays </w:t>
      </w:r>
      <w:r w:rsidRPr="005A4C7D">
        <w:rPr>
          <w:rFonts w:eastAsia="Arial"/>
          <w:lang w:val="en-US"/>
        </w:rPr>
        <w:t xml:space="preserve">against </w:t>
      </w:r>
      <w:r w:rsidRPr="005A4C7D">
        <w:rPr>
          <w:rFonts w:eastAsia="Arial"/>
        </w:rPr>
        <w:t>the 100% outlays in year-1 wherein there is no delay.</w:t>
      </w:r>
    </w:p>
    <w:p w14:paraId="636B2AFD" w14:textId="77777777" w:rsidR="00137F8E" w:rsidRPr="005A4C7D" w:rsidRDefault="00137F8E" w:rsidP="00137F8E">
      <w:pPr>
        <w:spacing w:line="360" w:lineRule="auto"/>
        <w:jc w:val="both"/>
        <w:rPr>
          <w:rFonts w:eastAsia="Arial"/>
        </w:rPr>
      </w:pPr>
    </w:p>
    <w:p w14:paraId="215D1051" w14:textId="49AAB40B" w:rsidR="00137F8E" w:rsidRPr="005A4C7D" w:rsidRDefault="00137F8E" w:rsidP="00137F8E">
      <w:pPr>
        <w:spacing w:line="360" w:lineRule="auto"/>
        <w:jc w:val="both"/>
        <w:rPr>
          <w:rFonts w:eastAsia="Arial"/>
        </w:rPr>
      </w:pPr>
      <w:r w:rsidRPr="005A4C7D">
        <w:rPr>
          <w:rFonts w:eastAsia="Arial"/>
        </w:rPr>
        <w:t xml:space="preserve">Hence, </w:t>
      </w:r>
      <w:r w:rsidRPr="005A4C7D">
        <w:rPr>
          <w:rFonts w:eastAsia="Arial"/>
          <w:lang w:val="en-US"/>
        </w:rPr>
        <w:t xml:space="preserve">we applied </w:t>
      </w:r>
      <w:r w:rsidRPr="005A4C7D">
        <w:rPr>
          <w:rFonts w:eastAsia="Arial"/>
        </w:rPr>
        <w:t>a 10% bank reserve ratio per the central bank of Indonesia (Bank of Indonesia)</w:t>
      </w:r>
      <w:r w:rsidRPr="005A4C7D">
        <w:rPr>
          <w:rFonts w:eastAsia="Arial"/>
          <w:vertAlign w:val="superscript"/>
        </w:rPr>
        <w:footnoteReference w:id="12"/>
      </w:r>
      <w:r w:rsidRPr="005A4C7D">
        <w:rPr>
          <w:rFonts w:eastAsia="Arial"/>
        </w:rPr>
        <w:t xml:space="preserve">. </w:t>
      </w:r>
      <w:r w:rsidR="00936880">
        <w:rPr>
          <w:rFonts w:eastAsia="Arial"/>
          <w:lang w:val="en-US"/>
        </w:rPr>
        <w:t>W</w:t>
      </w:r>
      <w:r w:rsidRPr="005A4C7D">
        <w:rPr>
          <w:rFonts w:eastAsia="Arial"/>
          <w:lang w:val="en-US"/>
        </w:rPr>
        <w:t>e</w:t>
      </w:r>
      <w:r w:rsidR="00936880">
        <w:rPr>
          <w:rFonts w:eastAsia="Arial"/>
          <w:lang w:val="en-US"/>
        </w:rPr>
        <w:t xml:space="preserve"> then</w:t>
      </w:r>
      <w:r w:rsidRPr="005A4C7D">
        <w:rPr>
          <w:rFonts w:eastAsia="Arial"/>
          <w:lang w:val="en-US"/>
        </w:rPr>
        <w:t xml:space="preserve"> ascribe </w:t>
      </w:r>
      <w:r w:rsidRPr="005A4C7D">
        <w:rPr>
          <w:rFonts w:eastAsia="Arial"/>
        </w:rPr>
        <w:t>attribution with ADB loans as % of Indonesia GDP</w:t>
      </w:r>
      <w:r w:rsidRPr="005A4C7D">
        <w:rPr>
          <w:rFonts w:eastAsia="Arial"/>
          <w:vertAlign w:val="superscript"/>
        </w:rPr>
        <w:footnoteReference w:id="13"/>
      </w:r>
      <w:r w:rsidRPr="005A4C7D">
        <w:rPr>
          <w:rFonts w:eastAsia="Arial"/>
        </w:rPr>
        <w:t xml:space="preserve"> being the numerator over annual unemployment</w:t>
      </w:r>
      <w:r w:rsidRPr="005A4C7D">
        <w:rPr>
          <w:rFonts w:eastAsia="Arial"/>
          <w:vertAlign w:val="superscript"/>
        </w:rPr>
        <w:footnoteReference w:id="14"/>
      </w:r>
      <w:r w:rsidRPr="005A4C7D">
        <w:rPr>
          <w:rFonts w:eastAsia="Arial"/>
        </w:rPr>
        <w:t xml:space="preserve"> equally weighted (linearized) annually (See Figure-4)</w:t>
      </w:r>
      <w:r w:rsidR="0081742D">
        <w:rPr>
          <w:rFonts w:eastAsia="Arial"/>
        </w:rPr>
        <w:t xml:space="preserve">. </w:t>
      </w:r>
      <w:r w:rsidRPr="005A4C7D">
        <w:rPr>
          <w:rFonts w:eastAsia="Arial"/>
        </w:rPr>
        <w:t xml:space="preserve">From this, </w:t>
      </w:r>
      <w:r w:rsidRPr="005A4C7D">
        <w:rPr>
          <w:rFonts w:eastAsia="Arial"/>
          <w:lang w:val="en-US"/>
        </w:rPr>
        <w:t xml:space="preserve">we get </w:t>
      </w:r>
      <w:r w:rsidRPr="005A4C7D">
        <w:rPr>
          <w:rFonts w:eastAsia="Arial"/>
        </w:rPr>
        <w:t>an unemployment attributor of 3.13% (Appendix-B)</w:t>
      </w:r>
      <w:r w:rsidR="0081742D">
        <w:rPr>
          <w:rFonts w:eastAsia="Arial"/>
        </w:rPr>
        <w:t xml:space="preserve">. </w:t>
      </w:r>
      <w:r w:rsidRPr="005A4C7D">
        <w:rPr>
          <w:rFonts w:eastAsia="Arial"/>
        </w:rPr>
        <w:t>Factual disbursement profiles were used to produce a normalized S-curve profile following the implementation plan with 2-5 years delays (Table-1)</w:t>
      </w:r>
      <w:r w:rsidR="0081742D">
        <w:rPr>
          <w:rFonts w:eastAsia="Arial"/>
        </w:rPr>
        <w:t xml:space="preserve">. </w:t>
      </w:r>
      <w:r w:rsidRPr="005A4C7D">
        <w:rPr>
          <w:rFonts w:eastAsia="Arial"/>
        </w:rPr>
        <w:t xml:space="preserve"> </w:t>
      </w:r>
      <w:r w:rsidRPr="005A4C7D">
        <w:rPr>
          <w:rFonts w:eastAsia="Arial"/>
          <w:lang w:val="en-US"/>
        </w:rPr>
        <w:t xml:space="preserve">We then spread the </w:t>
      </w:r>
      <w:r w:rsidRPr="005A4C7D">
        <w:rPr>
          <w:rFonts w:eastAsia="Arial"/>
        </w:rPr>
        <w:t>ADB loans into succeeding 5 and 7-years according to their disbursement profiles per its actual or projected S-curve</w:t>
      </w:r>
      <w:r w:rsidR="0081742D">
        <w:rPr>
          <w:rFonts w:eastAsia="Arial"/>
        </w:rPr>
        <w:t xml:space="preserve">. </w:t>
      </w:r>
      <w:r w:rsidRPr="005A4C7D">
        <w:rPr>
          <w:rFonts w:eastAsia="Arial"/>
        </w:rPr>
        <w:t xml:space="preserve">Thus, using equation-1 and 2 and Figure-4, </w:t>
      </w:r>
      <w:r w:rsidRPr="005A4C7D">
        <w:rPr>
          <w:rFonts w:eastAsia="Arial"/>
          <w:lang w:val="en-US"/>
        </w:rPr>
        <w:t xml:space="preserve">we derived </w:t>
      </w:r>
      <w:r w:rsidRPr="005A4C7D">
        <w:rPr>
          <w:rFonts w:eastAsia="Arial"/>
        </w:rPr>
        <w:t>the unemployment attributors of 2.40% (5-year) and 2.17% (7-years) and compared</w:t>
      </w:r>
      <w:r w:rsidRPr="005A4C7D">
        <w:rPr>
          <w:rFonts w:eastAsia="Arial"/>
          <w:lang w:val="en-US"/>
        </w:rPr>
        <w:t xml:space="preserve"> them</w:t>
      </w:r>
      <w:r w:rsidRPr="005A4C7D">
        <w:rPr>
          <w:rFonts w:eastAsia="Arial"/>
        </w:rPr>
        <w:t xml:space="preserve"> with 3.13% (at 100% disbursement in year-1). </w:t>
      </w:r>
      <w:r w:rsidRPr="005A4C7D">
        <w:rPr>
          <w:rFonts w:eastAsia="Arial"/>
          <w:lang w:val="en-US"/>
        </w:rPr>
        <w:t>We adjusted the a</w:t>
      </w:r>
      <w:r w:rsidRPr="005A4C7D">
        <w:rPr>
          <w:rFonts w:eastAsia="Arial"/>
        </w:rPr>
        <w:t>ctual interest rates, LIBOR</w:t>
      </w:r>
      <w:r w:rsidRPr="005A4C7D">
        <w:rPr>
          <w:rFonts w:eastAsia="Arial"/>
          <w:vertAlign w:val="superscript"/>
        </w:rPr>
        <w:footnoteReference w:id="15"/>
      </w:r>
      <w:r w:rsidRPr="005A4C7D">
        <w:rPr>
          <w:rFonts w:eastAsia="Arial"/>
          <w:lang w:val="en-US"/>
        </w:rPr>
        <w:t>,</w:t>
      </w:r>
      <w:r w:rsidRPr="005A4C7D">
        <w:rPr>
          <w:rFonts w:eastAsia="Arial"/>
        </w:rPr>
        <w:t xml:space="preserve"> and fees per </w:t>
      </w:r>
      <w:r w:rsidR="00B6611F">
        <w:rPr>
          <w:rFonts w:eastAsia="Arial"/>
          <w:lang w:val="en-US"/>
        </w:rPr>
        <w:t xml:space="preserve">the banking </w:t>
      </w:r>
      <w:r w:rsidRPr="005A4C7D">
        <w:rPr>
          <w:rFonts w:eastAsia="Arial"/>
        </w:rPr>
        <w:t>rules</w:t>
      </w:r>
      <w:r w:rsidR="00B6611F">
        <w:rPr>
          <w:rFonts w:eastAsia="Arial"/>
          <w:lang w:val="en-US"/>
        </w:rPr>
        <w:t xml:space="preserve"> of ADB</w:t>
      </w:r>
      <w:r w:rsidRPr="005A4C7D">
        <w:rPr>
          <w:rFonts w:eastAsia="Arial"/>
          <w:vertAlign w:val="superscript"/>
        </w:rPr>
        <w:footnoteReference w:id="16"/>
      </w:r>
      <w:r w:rsidRPr="005A4C7D">
        <w:rPr>
          <w:rFonts w:eastAsia="Arial"/>
        </w:rPr>
        <w:t xml:space="preserve"> to calculat</w:t>
      </w:r>
      <w:r w:rsidR="00F6136C" w:rsidRPr="005A4C7D">
        <w:rPr>
          <w:rFonts w:eastAsia="Arial"/>
          <w:lang w:val="en-US"/>
        </w:rPr>
        <w:t>e</w:t>
      </w:r>
      <w:r w:rsidRPr="005A4C7D">
        <w:rPr>
          <w:rFonts w:eastAsia="Arial"/>
        </w:rPr>
        <w:t xml:space="preserve"> </w:t>
      </w:r>
      <w:r w:rsidRPr="005A4C7D">
        <w:rPr>
          <w:rFonts w:eastAsia="Arial"/>
          <w:lang w:val="en-US"/>
        </w:rPr>
        <w:t xml:space="preserve">the </w:t>
      </w:r>
      <w:r w:rsidRPr="005A4C7D">
        <w:rPr>
          <w:rFonts w:eastAsia="Arial"/>
        </w:rPr>
        <w:t>compounded amounts from undisbursed funds</w:t>
      </w:r>
      <w:r w:rsidR="0081742D">
        <w:rPr>
          <w:rFonts w:eastAsia="Arial"/>
        </w:rPr>
        <w:t xml:space="preserve">. </w:t>
      </w:r>
      <w:r w:rsidRPr="005A4C7D">
        <w:rPr>
          <w:rFonts w:eastAsia="Arial"/>
          <w:lang w:val="en-US"/>
        </w:rPr>
        <w:t xml:space="preserve">We then monetized and </w:t>
      </w:r>
      <w:r w:rsidRPr="005A4C7D">
        <w:rPr>
          <w:rFonts w:eastAsia="Arial"/>
        </w:rPr>
        <w:t xml:space="preserve">endogenized </w:t>
      </w:r>
      <w:r w:rsidRPr="005A4C7D">
        <w:rPr>
          <w:rFonts w:eastAsia="Arial"/>
          <w:lang w:val="en-US"/>
        </w:rPr>
        <w:t xml:space="preserve">them </w:t>
      </w:r>
      <w:r w:rsidRPr="005A4C7D">
        <w:rPr>
          <w:rFonts w:eastAsia="Arial"/>
        </w:rPr>
        <w:t>under LF and FRB adopting the Stock-flow consistent (SFC) model principle of double-entry to balance the money created and its multiplication from the LA date</w:t>
      </w:r>
      <w:r w:rsidR="0081742D">
        <w:rPr>
          <w:rFonts w:eastAsia="Arial"/>
        </w:rPr>
        <w:t xml:space="preserve">. </w:t>
      </w:r>
    </w:p>
    <w:p w14:paraId="0A47B631" w14:textId="495838C4" w:rsidR="00137F8E" w:rsidRPr="005A4C7D" w:rsidRDefault="00137F8E" w:rsidP="00137F8E">
      <w:pPr>
        <w:spacing w:line="360" w:lineRule="auto"/>
        <w:jc w:val="both"/>
        <w:rPr>
          <w:rFonts w:eastAsia="Arial"/>
        </w:rPr>
      </w:pPr>
      <w:r w:rsidRPr="005A4C7D">
        <w:rPr>
          <w:rFonts w:eastAsia="Arial"/>
        </w:rPr>
        <w:t>In this paper, we adopt a simplified approach</w:t>
      </w:r>
      <w:r w:rsidRPr="005A4C7D">
        <w:rPr>
          <w:rFonts w:eastAsia="Arial"/>
          <w:vertAlign w:val="superscript"/>
        </w:rPr>
        <w:footnoteReference w:id="17"/>
      </w:r>
      <w:r w:rsidRPr="005A4C7D">
        <w:rPr>
          <w:rFonts w:eastAsia="Arial"/>
        </w:rPr>
        <w:t xml:space="preserve"> by using 1.3 (30%) and 12.5 (1250%) for LF and FRB respectively</w:t>
      </w:r>
      <w:r w:rsidR="0081742D">
        <w:rPr>
          <w:rFonts w:eastAsia="Arial"/>
          <w:lang w:val="en-US"/>
        </w:rPr>
        <w:t xml:space="preserve">. </w:t>
      </w:r>
      <w:r w:rsidR="00033D4D">
        <w:rPr>
          <w:rFonts w:eastAsia="Arial"/>
          <w:lang w:val="en-US"/>
        </w:rPr>
        <w:t>We</w:t>
      </w:r>
      <w:r w:rsidRPr="005A4C7D">
        <w:rPr>
          <w:rFonts w:eastAsia="Arial"/>
        </w:rPr>
        <w:t xml:space="preserve"> use them as multiplicators on ADB loans (</w:t>
      </w:r>
      <w:r w:rsidR="0081742D">
        <w:rPr>
          <w:rFonts w:eastAsia="Arial"/>
        </w:rPr>
        <w:t>%-GDP</w:t>
      </w:r>
      <w:r w:rsidRPr="005A4C7D">
        <w:rPr>
          <w:rFonts w:eastAsia="Arial"/>
        </w:rPr>
        <w:t>) at 100% disbursement in year-1</w:t>
      </w:r>
      <w:r w:rsidR="0081742D">
        <w:rPr>
          <w:rFonts w:eastAsia="Arial"/>
        </w:rPr>
        <w:t xml:space="preserve">. </w:t>
      </w:r>
      <w:r w:rsidR="00936880">
        <w:rPr>
          <w:rFonts w:eastAsia="Arial"/>
          <w:lang w:val="en-US"/>
        </w:rPr>
        <w:t>From this, w</w:t>
      </w:r>
      <w:r w:rsidRPr="005A4C7D">
        <w:rPr>
          <w:rFonts w:eastAsia="Arial"/>
          <w:lang w:val="en-US"/>
        </w:rPr>
        <w:t xml:space="preserve">e get </w:t>
      </w:r>
      <w:r w:rsidRPr="005A4C7D">
        <w:rPr>
          <w:rFonts w:eastAsia="Arial"/>
        </w:rPr>
        <w:t>the unemployment attributors of -4.06% (LF) and -6.70% (FRB)</w:t>
      </w:r>
      <w:r w:rsidR="0081742D">
        <w:rPr>
          <w:rFonts w:eastAsia="Arial"/>
        </w:rPr>
        <w:t xml:space="preserve">. </w:t>
      </w:r>
      <w:r w:rsidRPr="005A4C7D">
        <w:rPr>
          <w:rFonts w:eastAsia="Arial"/>
        </w:rPr>
        <w:t>Negative signs show endogenized sources</w:t>
      </w:r>
      <w:r w:rsidR="0081742D">
        <w:rPr>
          <w:rFonts w:eastAsia="Arial"/>
        </w:rPr>
        <w:t xml:space="preserve">. </w:t>
      </w:r>
      <w:r w:rsidRPr="005A4C7D">
        <w:rPr>
          <w:rFonts w:eastAsia="Arial"/>
          <w:lang w:val="en-US"/>
        </w:rPr>
        <w:t xml:space="preserve">We </w:t>
      </w:r>
      <w:r w:rsidRPr="005A4C7D">
        <w:rPr>
          <w:rFonts w:eastAsia="Arial"/>
        </w:rPr>
        <w:t>stochastically imitated</w:t>
      </w:r>
      <w:r w:rsidRPr="005A4C7D">
        <w:rPr>
          <w:rFonts w:eastAsia="Arial"/>
          <w:lang w:val="en-US"/>
        </w:rPr>
        <w:t xml:space="preserve"> disbursement</w:t>
      </w:r>
      <w:r w:rsidRPr="005A4C7D">
        <w:rPr>
          <w:rFonts w:eastAsia="Arial"/>
        </w:rPr>
        <w:t xml:space="preserve"> with Monte-Carlo simulations combined with agent-based modeling (ABM)</w:t>
      </w:r>
      <w:r w:rsidRPr="005A4C7D">
        <w:rPr>
          <w:rFonts w:eastAsia="Arial"/>
          <w:lang w:val="en-US"/>
        </w:rPr>
        <w:t xml:space="preserve"> </w:t>
      </w:r>
      <w:r w:rsidRPr="005A4C7D">
        <w:rPr>
          <w:rFonts w:eastAsia="Arial"/>
          <w:lang w:val="en-US"/>
        </w:rPr>
        <w:lastRenderedPageBreak/>
        <w:t xml:space="preserve">using </w:t>
      </w:r>
      <w:r w:rsidRPr="005A4C7D">
        <w:rPr>
          <w:rFonts w:eastAsia="Arial"/>
        </w:rPr>
        <w:t>a mean of 4.34 and a standard deviation of 2.00 of Indonesia unemployment and t</w:t>
      </w:r>
      <w:r w:rsidR="00F6136C" w:rsidRPr="005A4C7D">
        <w:rPr>
          <w:rFonts w:eastAsia="Arial"/>
          <w:lang w:val="en-US"/>
        </w:rPr>
        <w:t>h</w:t>
      </w:r>
      <w:r w:rsidRPr="005A4C7D">
        <w:rPr>
          <w:rFonts w:eastAsia="Arial"/>
        </w:rPr>
        <w:t>eir relationship with the ADB</w:t>
      </w:r>
      <w:r w:rsidRPr="005A4C7D">
        <w:rPr>
          <w:rFonts w:eastAsia="Arial"/>
          <w:lang w:val="en-US"/>
        </w:rPr>
        <w:t xml:space="preserve"> loans</w:t>
      </w:r>
      <w:r w:rsidRPr="005A4C7D">
        <w:rPr>
          <w:rFonts w:eastAsia="Arial"/>
        </w:rPr>
        <w:t xml:space="preserve">. </w:t>
      </w:r>
      <w:r w:rsidRPr="005A4C7D">
        <w:rPr>
          <w:rFonts w:eastAsia="Arial"/>
          <w:lang w:val="en-US"/>
        </w:rPr>
        <w:t xml:space="preserve">We run </w:t>
      </w:r>
      <w:r w:rsidR="00795AC9" w:rsidRPr="005A4C7D">
        <w:rPr>
          <w:rFonts w:eastAsia="Arial"/>
          <w:lang w:val="en-US"/>
        </w:rPr>
        <w:t>unemployment</w:t>
      </w:r>
      <w:r w:rsidRPr="005A4C7D">
        <w:rPr>
          <w:rFonts w:eastAsia="Arial"/>
          <w:lang w:val="en-US"/>
        </w:rPr>
        <w:t xml:space="preserve"> attributor simulation with</w:t>
      </w:r>
      <w:r w:rsidRPr="005A4C7D">
        <w:rPr>
          <w:rFonts w:eastAsia="Arial"/>
        </w:rPr>
        <w:t xml:space="preserve"> a minimum of 1,000 iterations </w:t>
      </w:r>
      <w:r w:rsidRPr="005A4C7D">
        <w:rPr>
          <w:rFonts w:eastAsia="Arial"/>
          <w:lang w:val="en-US"/>
        </w:rPr>
        <w:t>using</w:t>
      </w:r>
      <w:r w:rsidRPr="005A4C7D">
        <w:rPr>
          <w:rFonts w:eastAsia="Arial"/>
        </w:rPr>
        <w:t xml:space="preserve"> 5% </w:t>
      </w:r>
      <w:r w:rsidRPr="005A4C7D">
        <w:rPr>
          <w:rFonts w:eastAsia="Arial"/>
          <w:lang w:val="en-US"/>
        </w:rPr>
        <w:t xml:space="preserve">disbursement </w:t>
      </w:r>
      <w:r w:rsidRPr="005A4C7D">
        <w:rPr>
          <w:rFonts w:eastAsia="Arial"/>
        </w:rPr>
        <w:t xml:space="preserve">increments </w:t>
      </w:r>
      <w:r w:rsidRPr="005A4C7D">
        <w:rPr>
          <w:rFonts w:eastAsia="Arial"/>
          <w:lang w:val="en-US"/>
        </w:rPr>
        <w:t>by t</w:t>
      </w:r>
      <w:r w:rsidRPr="005A4C7D">
        <w:rPr>
          <w:rFonts w:eastAsia="Arial"/>
        </w:rPr>
        <w:t xml:space="preserve">reating disbursement ratio and </w:t>
      </w:r>
      <w:r w:rsidR="00795AC9" w:rsidRPr="005A4C7D">
        <w:rPr>
          <w:rFonts w:eastAsia="Arial"/>
          <w:lang w:val="en-US"/>
        </w:rPr>
        <w:t>unemployment</w:t>
      </w:r>
      <w:r w:rsidR="00795AC9" w:rsidRPr="005A4C7D">
        <w:rPr>
          <w:rFonts w:eastAsia="Arial"/>
        </w:rPr>
        <w:t xml:space="preserve"> </w:t>
      </w:r>
      <w:r w:rsidRPr="005A4C7D">
        <w:rPr>
          <w:rFonts w:eastAsia="Arial"/>
        </w:rPr>
        <w:t xml:space="preserve">as agents </w:t>
      </w:r>
      <w:r w:rsidRPr="005A4C7D">
        <w:rPr>
          <w:rFonts w:eastAsia="Arial"/>
          <w:lang w:val="en-US"/>
        </w:rPr>
        <w:t>harnessing</w:t>
      </w:r>
      <w:r w:rsidRPr="005A4C7D">
        <w:rPr>
          <w:rFonts w:eastAsia="Arial"/>
        </w:rPr>
        <w:t xml:space="preserve"> MS-Excel </w:t>
      </w:r>
      <w:r w:rsidRPr="005A4C7D">
        <w:rPr>
          <w:rFonts w:eastAsia="Arial"/>
          <w:i/>
        </w:rPr>
        <w:t>What-if Analysis</w:t>
      </w:r>
      <w:r w:rsidRPr="005A4C7D">
        <w:rPr>
          <w:rFonts w:eastAsia="Arial"/>
        </w:rPr>
        <w:t xml:space="preserve"> Da</w:t>
      </w:r>
      <w:r w:rsidR="00F6136C" w:rsidRPr="005A4C7D">
        <w:rPr>
          <w:rFonts w:eastAsia="Arial"/>
          <w:lang w:val="en-US"/>
        </w:rPr>
        <w:t>t</w:t>
      </w:r>
      <w:r w:rsidRPr="005A4C7D">
        <w:rPr>
          <w:rFonts w:eastAsia="Arial"/>
        </w:rPr>
        <w:t>a Table function</w:t>
      </w:r>
      <w:r w:rsidR="0081742D">
        <w:rPr>
          <w:rFonts w:eastAsia="Arial"/>
          <w:lang w:val="en-US"/>
        </w:rPr>
        <w:t xml:space="preserve">. </w:t>
      </w:r>
      <w:r w:rsidRPr="005A4C7D">
        <w:rPr>
          <w:rFonts w:eastAsia="Arial"/>
        </w:rPr>
        <w:t xml:space="preserve">For estimating future total loan principal plus interest, using an average Indonesian ADB loan interest rate of 4.727%, we adopt the </w:t>
      </w:r>
      <w:r w:rsidR="00B6611F">
        <w:rPr>
          <w:rFonts w:eastAsia="Arial"/>
          <w:i/>
          <w:iCs/>
          <w:lang w:val="en-US"/>
        </w:rPr>
        <w:t>R</w:t>
      </w:r>
      <w:r w:rsidRPr="00B6611F">
        <w:rPr>
          <w:rFonts w:eastAsia="Arial"/>
          <w:i/>
          <w:iCs/>
        </w:rPr>
        <w:t>ule of 70</w:t>
      </w:r>
      <w:r w:rsidRPr="005A4C7D">
        <w:rPr>
          <w:rFonts w:eastAsia="Arial"/>
        </w:rPr>
        <w:t xml:space="preserve"> with 19-</w:t>
      </w:r>
      <w:r w:rsidR="00F6136C" w:rsidRPr="005A4C7D">
        <w:rPr>
          <w:rFonts w:eastAsia="Arial"/>
          <w:lang w:val="en-US"/>
        </w:rPr>
        <w:t>y</w:t>
      </w:r>
      <w:r w:rsidRPr="005A4C7D">
        <w:rPr>
          <w:rFonts w:eastAsia="Arial"/>
        </w:rPr>
        <w:t>ear as the</w:t>
      </w:r>
      <w:r w:rsidR="00F6136C" w:rsidRPr="005A4C7D">
        <w:rPr>
          <w:rFonts w:eastAsia="Arial"/>
          <w:lang w:val="en-US"/>
        </w:rPr>
        <w:t xml:space="preserve"> </w:t>
      </w:r>
      <w:r w:rsidRPr="005A4C7D">
        <w:rPr>
          <w:rFonts w:eastAsia="Arial"/>
        </w:rPr>
        <w:t>average loan life and average ADB loans since 1969 of 0.415</w:t>
      </w:r>
      <w:r w:rsidR="0081742D">
        <w:rPr>
          <w:rFonts w:eastAsia="Arial"/>
        </w:rPr>
        <w:t>%-GDP</w:t>
      </w:r>
      <w:r w:rsidRPr="005A4C7D">
        <w:rPr>
          <w:rFonts w:eastAsia="Arial"/>
        </w:rPr>
        <w:t>. Hence {2x0.415x19/(70/4.727)}=1.065 ~1.07</w:t>
      </w:r>
      <w:r w:rsidR="0081742D">
        <w:rPr>
          <w:rFonts w:eastAsia="Arial"/>
        </w:rPr>
        <w:t>%-GDP</w:t>
      </w:r>
      <w:r w:rsidRPr="005A4C7D">
        <w:rPr>
          <w:rFonts w:eastAsia="Arial"/>
        </w:rPr>
        <w:t xml:space="preserve"> which</w:t>
      </w:r>
      <w:r w:rsidRPr="005A4C7D">
        <w:rPr>
          <w:rFonts w:eastAsia="Arial"/>
          <w:lang w:val="en-US"/>
        </w:rPr>
        <w:t xml:space="preserve"> value</w:t>
      </w:r>
      <w:r w:rsidRPr="005A4C7D">
        <w:rPr>
          <w:rFonts w:eastAsia="Arial"/>
        </w:rPr>
        <w:t xml:space="preserve"> is </w:t>
      </w:r>
      <w:r w:rsidRPr="005A4C7D">
        <w:rPr>
          <w:rFonts w:eastAsia="Arial"/>
          <w:lang w:val="en-US"/>
        </w:rPr>
        <w:t xml:space="preserve">in </w:t>
      </w:r>
      <w:r w:rsidRPr="005A4C7D">
        <w:rPr>
          <w:rFonts w:eastAsia="Arial"/>
        </w:rPr>
        <w:t>between 2% (0.45</w:t>
      </w:r>
      <w:r w:rsidR="0081742D">
        <w:rPr>
          <w:rFonts w:eastAsia="Arial"/>
        </w:rPr>
        <w:t>%-GDP</w:t>
      </w:r>
      <w:r w:rsidRPr="005A4C7D">
        <w:rPr>
          <w:rFonts w:eastAsia="Arial"/>
        </w:rPr>
        <w:t>) and 5% (1.13</w:t>
      </w:r>
      <w:r w:rsidR="0081742D">
        <w:rPr>
          <w:rFonts w:eastAsia="Arial"/>
        </w:rPr>
        <w:t>%-GDP</w:t>
      </w:r>
      <w:r w:rsidRPr="005A4C7D">
        <w:rPr>
          <w:rFonts w:eastAsia="Arial"/>
        </w:rPr>
        <w:t>) interest rates shown in Figure-10.</w:t>
      </w:r>
    </w:p>
    <w:p w14:paraId="7C252334" w14:textId="77777777" w:rsidR="00137F8E" w:rsidRPr="005A4C7D" w:rsidRDefault="00137F8E" w:rsidP="00137F8E">
      <w:pPr>
        <w:keepNext/>
        <w:numPr>
          <w:ilvl w:val="0"/>
          <w:numId w:val="18"/>
        </w:numPr>
        <w:pBdr>
          <w:top w:val="nil"/>
          <w:left w:val="nil"/>
          <w:bottom w:val="nil"/>
          <w:right w:val="nil"/>
          <w:between w:val="nil"/>
        </w:pBdr>
        <w:spacing w:before="240" w:after="240" w:line="360" w:lineRule="auto"/>
        <w:ind w:left="426" w:hanging="426"/>
        <w:jc w:val="both"/>
        <w:rPr>
          <w:rFonts w:eastAsia="Arial"/>
        </w:rPr>
      </w:pPr>
      <w:r w:rsidRPr="005A4C7D">
        <w:rPr>
          <w:rFonts w:eastAsia="Arial"/>
          <w:b/>
        </w:rPr>
        <w:t xml:space="preserve">Data </w:t>
      </w:r>
    </w:p>
    <w:p w14:paraId="37C484F1" w14:textId="459403CE" w:rsidR="00137F8E" w:rsidRPr="005A4C7D" w:rsidRDefault="00137F8E" w:rsidP="00137F8E">
      <w:pPr>
        <w:spacing w:line="360" w:lineRule="auto"/>
        <w:jc w:val="both"/>
        <w:rPr>
          <w:rFonts w:eastAsia="Arial"/>
        </w:rPr>
      </w:pPr>
      <w:r w:rsidRPr="005A4C7D">
        <w:rPr>
          <w:rFonts w:eastAsia="Arial"/>
        </w:rPr>
        <w:t>Time-series datasets from ADB</w:t>
      </w:r>
      <w:r w:rsidRPr="005A4C7D">
        <w:rPr>
          <w:rFonts w:eastAsia="Arial"/>
          <w:vertAlign w:val="superscript"/>
        </w:rPr>
        <w:footnoteReference w:id="18"/>
      </w:r>
      <w:r w:rsidRPr="005A4C7D">
        <w:rPr>
          <w:rFonts w:eastAsia="Arial"/>
        </w:rPr>
        <w:t xml:space="preserve"> covering 325 (Loans No.0012-3561) of Indonesia loans with over 1,</w:t>
      </w:r>
      <w:r w:rsidR="00B6611F">
        <w:rPr>
          <w:rFonts w:eastAsia="Arial"/>
          <w:lang w:val="en-US"/>
        </w:rPr>
        <w:t>1</w:t>
      </w:r>
      <w:r w:rsidRPr="005A4C7D">
        <w:rPr>
          <w:rFonts w:eastAsia="Arial"/>
        </w:rPr>
        <w:t>00 sub-loans, from 1969 to 2017 totaled over $33 billion (Appendix-C), World Bank</w:t>
      </w:r>
      <w:r w:rsidRPr="005A4C7D">
        <w:rPr>
          <w:rFonts w:eastAsia="Arial"/>
          <w:vertAlign w:val="superscript"/>
        </w:rPr>
        <w:footnoteReference w:id="19"/>
      </w:r>
      <w:r w:rsidRPr="005A4C7D">
        <w:rPr>
          <w:rFonts w:eastAsia="Arial"/>
        </w:rPr>
        <w:t>, Ministry of Financ</w:t>
      </w:r>
      <w:r w:rsidR="000925F5">
        <w:rPr>
          <w:rFonts w:eastAsia="Arial"/>
        </w:rPr>
        <w:t>e</w:t>
      </w:r>
      <w:r w:rsidRPr="005A4C7D">
        <w:rPr>
          <w:rFonts w:eastAsia="Arial"/>
        </w:rPr>
        <w:t xml:space="preserve"> (MOF)</w:t>
      </w:r>
      <w:r w:rsidR="00B6611F">
        <w:rPr>
          <w:rFonts w:eastAsia="Arial"/>
          <w:lang w:val="en-US"/>
        </w:rPr>
        <w:t xml:space="preserve"> for the GOI</w:t>
      </w:r>
      <w:r w:rsidRPr="005A4C7D">
        <w:rPr>
          <w:rFonts w:eastAsia="Arial"/>
        </w:rPr>
        <w:t>, and St. Louis Fed (FRED)</w:t>
      </w:r>
      <w:r w:rsidRPr="005A4C7D">
        <w:rPr>
          <w:rFonts w:eastAsia="Arial"/>
          <w:vertAlign w:val="superscript"/>
        </w:rPr>
        <w:footnoteReference w:id="20"/>
      </w:r>
      <w:r w:rsidR="0081742D">
        <w:rPr>
          <w:rFonts w:eastAsia="Arial"/>
        </w:rPr>
        <w:t xml:space="preserve">. </w:t>
      </w:r>
      <w:r w:rsidRPr="005A4C7D">
        <w:rPr>
          <w:rFonts w:eastAsia="Arial"/>
        </w:rPr>
        <w:t>The World Bank data provides the unemployment level (Dataset: SL.UEM.TOTL.ZS (ILO estimates) and SL.UEM.TOTL.NE.ZS (National estimate) and current GDP (NY.GDP.MKTP.CD)</w:t>
      </w:r>
      <w:r w:rsidR="0081742D">
        <w:rPr>
          <w:rFonts w:eastAsia="Arial"/>
        </w:rPr>
        <w:t xml:space="preserve">. </w:t>
      </w:r>
      <w:r w:rsidRPr="005A4C7D">
        <w:rPr>
          <w:rFonts w:eastAsia="Arial"/>
        </w:rPr>
        <w:t>FRED data caters to various interbank lending rates</w:t>
      </w:r>
      <w:r w:rsidR="0081742D">
        <w:rPr>
          <w:rFonts w:eastAsia="Arial"/>
        </w:rPr>
        <w:t xml:space="preserve">. </w:t>
      </w:r>
      <w:r w:rsidRPr="005A4C7D">
        <w:rPr>
          <w:rFonts w:eastAsia="Arial"/>
        </w:rPr>
        <w:t>As all ADB loans are below 1</w:t>
      </w:r>
      <w:r w:rsidR="0081742D">
        <w:rPr>
          <w:rFonts w:eastAsia="Arial"/>
        </w:rPr>
        <w:t>%-GDP</w:t>
      </w:r>
      <w:r w:rsidRPr="005A4C7D">
        <w:rPr>
          <w:rFonts w:eastAsia="Arial"/>
        </w:rPr>
        <w:t>, except for one outlier at 2.3</w:t>
      </w:r>
      <w:r w:rsidR="0081742D">
        <w:rPr>
          <w:rFonts w:eastAsia="Arial"/>
        </w:rPr>
        <w:t>%-GDP</w:t>
      </w:r>
      <w:r w:rsidRPr="005A4C7D">
        <w:rPr>
          <w:rFonts w:eastAsia="Arial"/>
        </w:rPr>
        <w:t xml:space="preserve"> coinciding with the 1998 Asian financial crisis, we kept it </w:t>
      </w:r>
      <w:r w:rsidRPr="00B6611F">
        <w:rPr>
          <w:rFonts w:eastAsia="Arial"/>
          <w:i/>
          <w:iCs/>
        </w:rPr>
        <w:t>as is</w:t>
      </w:r>
      <w:r w:rsidRPr="005A4C7D">
        <w:rPr>
          <w:rFonts w:eastAsia="Arial"/>
        </w:rPr>
        <w:t xml:space="preserve"> to maintain d</w:t>
      </w:r>
      <w:r w:rsidR="00F6136C" w:rsidRPr="005A4C7D">
        <w:rPr>
          <w:rFonts w:eastAsia="Arial"/>
          <w:lang w:val="en-US"/>
        </w:rPr>
        <w:t>a</w:t>
      </w:r>
      <w:r w:rsidRPr="005A4C7D">
        <w:rPr>
          <w:rFonts w:eastAsia="Arial"/>
        </w:rPr>
        <w:t>ta in</w:t>
      </w:r>
      <w:r w:rsidR="00F6136C" w:rsidRPr="005A4C7D">
        <w:rPr>
          <w:rFonts w:eastAsia="Arial"/>
          <w:lang w:val="en-US"/>
        </w:rPr>
        <w:t>t</w:t>
      </w:r>
      <w:r w:rsidRPr="005A4C7D">
        <w:rPr>
          <w:rFonts w:eastAsia="Arial"/>
        </w:rPr>
        <w:t xml:space="preserve">egrity and to show the impact of increasing ADB loans as </w:t>
      </w:r>
      <w:r w:rsidR="0081742D">
        <w:rPr>
          <w:rFonts w:eastAsia="Arial"/>
        </w:rPr>
        <w:t>%-GDP</w:t>
      </w:r>
      <w:r w:rsidRPr="005A4C7D">
        <w:rPr>
          <w:rFonts w:eastAsia="Arial"/>
        </w:rPr>
        <w:t>. We fill data gaps by</w:t>
      </w:r>
      <w:r w:rsidR="003952F4">
        <w:rPr>
          <w:rFonts w:eastAsia="Arial"/>
          <w:lang w:val="en-US"/>
        </w:rPr>
        <w:t xml:space="preserve"> </w:t>
      </w:r>
      <w:r w:rsidRPr="005A4C7D">
        <w:rPr>
          <w:rFonts w:eastAsia="Arial"/>
        </w:rPr>
        <w:t>interpolating</w:t>
      </w:r>
      <w:r w:rsidR="003952F4">
        <w:rPr>
          <w:rFonts w:eastAsia="Arial"/>
          <w:lang w:val="en-US"/>
        </w:rPr>
        <w:t xml:space="preserve"> them from </w:t>
      </w:r>
      <w:r w:rsidRPr="005A4C7D">
        <w:rPr>
          <w:rFonts w:eastAsia="Arial"/>
        </w:rPr>
        <w:t>their neighboring values</w:t>
      </w:r>
      <w:r w:rsidR="0081742D">
        <w:rPr>
          <w:rFonts w:eastAsia="Arial"/>
        </w:rPr>
        <w:t xml:space="preserve">. </w:t>
      </w:r>
      <w:r w:rsidRPr="005A4C7D">
        <w:rPr>
          <w:rFonts w:eastAsia="Arial"/>
        </w:rPr>
        <w:t xml:space="preserve">We </w:t>
      </w:r>
      <w:r w:rsidRPr="005A4C7D">
        <w:rPr>
          <w:rFonts w:eastAsia="Arial"/>
          <w:lang w:val="en-US"/>
        </w:rPr>
        <w:t>provide</w:t>
      </w:r>
      <w:r w:rsidRPr="005A4C7D">
        <w:rPr>
          <w:rFonts w:eastAsia="Arial"/>
        </w:rPr>
        <w:t xml:space="preserve"> the summary statistics in Appendix-D.</w:t>
      </w:r>
    </w:p>
    <w:p w14:paraId="19890170" w14:textId="77777777" w:rsidR="00137F8E" w:rsidRPr="005A4C7D" w:rsidRDefault="00137F8E" w:rsidP="00137F8E">
      <w:pPr>
        <w:spacing w:before="120" w:after="120" w:line="360" w:lineRule="auto"/>
        <w:rPr>
          <w:rFonts w:eastAsia="Arial"/>
          <w:b/>
          <w:sz w:val="28"/>
          <w:szCs w:val="28"/>
        </w:rPr>
      </w:pPr>
      <w:r w:rsidRPr="005A4C7D">
        <w:rPr>
          <w:rFonts w:eastAsia="Arial"/>
          <w:b/>
          <w:sz w:val="28"/>
          <w:szCs w:val="28"/>
        </w:rPr>
        <w:t>RESULTS</w:t>
      </w:r>
    </w:p>
    <w:p w14:paraId="3808D7AA" w14:textId="77777777" w:rsidR="00137F8E" w:rsidRPr="005A4C7D" w:rsidRDefault="00137F8E" w:rsidP="00137F8E">
      <w:pPr>
        <w:keepNext/>
        <w:numPr>
          <w:ilvl w:val="0"/>
          <w:numId w:val="18"/>
        </w:numPr>
        <w:pBdr>
          <w:top w:val="nil"/>
          <w:left w:val="nil"/>
          <w:bottom w:val="nil"/>
          <w:right w:val="nil"/>
          <w:between w:val="nil"/>
        </w:pBdr>
        <w:spacing w:before="240" w:after="240" w:line="360" w:lineRule="auto"/>
        <w:ind w:left="426" w:hanging="426"/>
        <w:jc w:val="both"/>
        <w:rPr>
          <w:rFonts w:eastAsia="Arial"/>
        </w:rPr>
      </w:pPr>
      <w:r w:rsidRPr="005A4C7D">
        <w:rPr>
          <w:rFonts w:eastAsia="Arial"/>
          <w:b/>
        </w:rPr>
        <w:t xml:space="preserve">Findings </w:t>
      </w:r>
    </w:p>
    <w:p w14:paraId="46467484" w14:textId="1B80F4A0" w:rsidR="00137F8E" w:rsidRPr="005A4C7D" w:rsidRDefault="00137F8E" w:rsidP="00137F8E">
      <w:pPr>
        <w:spacing w:line="360" w:lineRule="auto"/>
        <w:jc w:val="both"/>
        <w:rPr>
          <w:rFonts w:eastAsia="Arial"/>
        </w:rPr>
      </w:pPr>
      <w:r w:rsidRPr="005A4C7D">
        <w:rPr>
          <w:rFonts w:eastAsia="Arial"/>
        </w:rPr>
        <w:t>Delays, despite them disadvantaging Indonesia in many areas (i.e., economy, finance, social politics), are financially and politically beneficial for ADB or its commercial banks where</w:t>
      </w:r>
      <w:r w:rsidRPr="005A4C7D">
        <w:rPr>
          <w:rFonts w:eastAsia="Arial"/>
          <w:lang w:val="en-US"/>
        </w:rPr>
        <w:t xml:space="preserve"> ADB deposits the </w:t>
      </w:r>
      <w:r w:rsidRPr="005A4C7D">
        <w:rPr>
          <w:rFonts w:eastAsia="Arial"/>
        </w:rPr>
        <w:t xml:space="preserve">undisbursed loan funds. Financially, it gains compounded interests and fees while politically, it remains in control of </w:t>
      </w:r>
      <w:r w:rsidR="00033D4D">
        <w:rPr>
          <w:rFonts w:eastAsia="Arial"/>
          <w:lang w:val="en-US"/>
        </w:rPr>
        <w:t>Indonesia’s sovereign</w:t>
      </w:r>
      <w:r w:rsidRPr="005A4C7D">
        <w:rPr>
          <w:rFonts w:eastAsia="Arial"/>
        </w:rPr>
        <w:t xml:space="preserve"> capitals</w:t>
      </w:r>
      <w:r w:rsidR="00033D4D">
        <w:rPr>
          <w:rFonts w:eastAsia="Arial"/>
          <w:lang w:val="en-US"/>
        </w:rPr>
        <w:t xml:space="preserve"> which is</w:t>
      </w:r>
      <w:r w:rsidRPr="005A4C7D">
        <w:rPr>
          <w:rFonts w:eastAsia="Arial"/>
        </w:rPr>
        <w:t xml:space="preserve"> collateralized with over $8 billion</w:t>
      </w:r>
      <w:r w:rsidR="0081742D">
        <w:rPr>
          <w:rFonts w:eastAsia="Arial"/>
        </w:rPr>
        <w:t xml:space="preserve">. </w:t>
      </w:r>
      <w:r w:rsidRPr="005A4C7D">
        <w:rPr>
          <w:rFonts w:eastAsia="Arial"/>
        </w:rPr>
        <w:t>All three approaches, as expounded below, show that the bars under LF and/or FRB in numerical and stochastic approaches, outsized 100% disbursement</w:t>
      </w:r>
      <w:r w:rsidR="0081742D">
        <w:rPr>
          <w:rFonts w:eastAsia="Arial"/>
          <w:lang w:val="en-US"/>
        </w:rPr>
        <w:t xml:space="preserve">. </w:t>
      </w:r>
      <w:r w:rsidR="0022121C">
        <w:rPr>
          <w:rFonts w:eastAsia="Arial"/>
          <w:lang w:val="en-US"/>
        </w:rPr>
        <w:t>A</w:t>
      </w:r>
      <w:r w:rsidRPr="005A4C7D">
        <w:rPr>
          <w:rFonts w:eastAsia="Arial"/>
        </w:rPr>
        <w:t xml:space="preserve">nd the tip of the </w:t>
      </w:r>
      <w:r w:rsidRPr="005A4C7D">
        <w:rPr>
          <w:rFonts w:eastAsia="Arial"/>
        </w:rPr>
        <w:lastRenderedPageBreak/>
        <w:t xml:space="preserve">curves under 5- and 7-year delays in </w:t>
      </w:r>
      <w:r w:rsidR="000104C5">
        <w:rPr>
          <w:rFonts w:eastAsia="Arial"/>
        </w:rPr>
        <w:t xml:space="preserve">the </w:t>
      </w:r>
      <w:r w:rsidRPr="005A4C7D">
        <w:rPr>
          <w:rFonts w:eastAsia="Arial"/>
        </w:rPr>
        <w:t xml:space="preserve">graphical approach outnumbered the 100% disbursement. These tell us that ADB loans are not useful in reducing unemployment in Indonesia because of their disbursement delays. On the contrary, it worsens. Visually, the numbers, charts, and graphs show a downtrend and uptrend as ADB loans (as </w:t>
      </w:r>
      <w:r w:rsidR="0081742D">
        <w:rPr>
          <w:rFonts w:eastAsia="Arial"/>
        </w:rPr>
        <w:t>%-GDP</w:t>
      </w:r>
      <w:r w:rsidRPr="005A4C7D">
        <w:rPr>
          <w:rFonts w:eastAsia="Arial"/>
        </w:rPr>
        <w:t xml:space="preserve">) increase which means, ADB loans initially reduce unemployment but as </w:t>
      </w:r>
      <w:r w:rsidR="003952F4">
        <w:rPr>
          <w:rFonts w:eastAsia="Arial"/>
          <w:lang w:val="en-US"/>
        </w:rPr>
        <w:t xml:space="preserve">the </w:t>
      </w:r>
      <w:r w:rsidRPr="005A4C7D">
        <w:rPr>
          <w:rFonts w:eastAsia="Arial"/>
        </w:rPr>
        <w:t>loans increase so do unemployment. We have observed the same with ADB loan disbursement delays. Increased unemployment correlated with longer disbursement delays, which translated as the longer the delays the fewer jobs ADB loans created.</w:t>
      </w:r>
    </w:p>
    <w:p w14:paraId="17F0CB0A" w14:textId="77777777" w:rsidR="00137F8E" w:rsidRPr="005A4C7D" w:rsidRDefault="00137F8E" w:rsidP="00137F8E">
      <w:pPr>
        <w:spacing w:line="360" w:lineRule="auto"/>
        <w:jc w:val="both"/>
        <w:rPr>
          <w:rFonts w:eastAsia="Arial"/>
        </w:rPr>
      </w:pPr>
    </w:p>
    <w:p w14:paraId="0BAA055E" w14:textId="77777777" w:rsidR="00137F8E" w:rsidRPr="005A4C7D" w:rsidRDefault="00137F8E" w:rsidP="00137F8E">
      <w:pPr>
        <w:pStyle w:val="Heading2"/>
        <w:numPr>
          <w:ilvl w:val="1"/>
          <w:numId w:val="16"/>
        </w:numPr>
        <w:spacing w:line="360" w:lineRule="auto"/>
        <w:ind w:left="709" w:hanging="709"/>
        <w:rPr>
          <w:rFonts w:eastAsia="Arial"/>
          <w:sz w:val="24"/>
          <w:szCs w:val="24"/>
        </w:rPr>
      </w:pPr>
      <w:r w:rsidRPr="005A4C7D">
        <w:rPr>
          <w:rFonts w:eastAsia="Arial"/>
          <w:sz w:val="24"/>
          <w:szCs w:val="24"/>
        </w:rPr>
        <w:t xml:space="preserve">Pilot view </w:t>
      </w:r>
    </w:p>
    <w:p w14:paraId="149CAC9C" w14:textId="3B05CD0F" w:rsidR="00137F8E" w:rsidRPr="005A4C7D" w:rsidRDefault="00137F8E" w:rsidP="00137F8E">
      <w:pPr>
        <w:spacing w:line="360" w:lineRule="auto"/>
        <w:jc w:val="both"/>
        <w:rPr>
          <w:rFonts w:eastAsia="Arial"/>
        </w:rPr>
      </w:pPr>
      <w:r w:rsidRPr="005A4C7D">
        <w:rPr>
          <w:rFonts w:eastAsia="Arial"/>
        </w:rPr>
        <w:t xml:space="preserve">To provide comfort on the stability of the data and DOA-BOGOR analysis, </w:t>
      </w:r>
      <w:r w:rsidRPr="005A4C7D">
        <w:rPr>
          <w:rFonts w:eastAsia="Arial"/>
          <w:lang w:val="en-US"/>
        </w:rPr>
        <w:t>Figure-5 provides</w:t>
      </w:r>
      <w:r w:rsidR="00B6611F">
        <w:rPr>
          <w:rFonts w:eastAsia="Arial"/>
          <w:lang w:val="en-US"/>
        </w:rPr>
        <w:t xml:space="preserve"> </w:t>
      </w:r>
      <w:r w:rsidR="00C10AC1">
        <w:rPr>
          <w:rFonts w:eastAsia="Arial"/>
          <w:lang w:val="en-US"/>
        </w:rPr>
        <w:t xml:space="preserve">the </w:t>
      </w:r>
      <w:r w:rsidR="00B6611F">
        <w:rPr>
          <w:rFonts w:eastAsia="Arial"/>
          <w:lang w:val="en-US"/>
        </w:rPr>
        <w:t>view for the</w:t>
      </w:r>
      <w:r w:rsidRPr="005A4C7D">
        <w:rPr>
          <w:rFonts w:eastAsia="Arial"/>
          <w:lang w:val="en-US"/>
        </w:rPr>
        <w:t xml:space="preserve"> </w:t>
      </w:r>
      <w:r w:rsidRPr="005A4C7D">
        <w:rPr>
          <w:rFonts w:eastAsia="Arial"/>
        </w:rPr>
        <w:t xml:space="preserve">pilot from which </w:t>
      </w:r>
      <w:r w:rsidRPr="005A4C7D">
        <w:rPr>
          <w:rFonts w:eastAsia="Arial"/>
          <w:lang w:val="en-US"/>
        </w:rPr>
        <w:t>we see</w:t>
      </w:r>
      <w:r w:rsidRPr="005A4C7D">
        <w:rPr>
          <w:rFonts w:eastAsia="Arial"/>
        </w:rPr>
        <w:t xml:space="preserve"> volatilities of 19% and 24% because of 5 and 7-year delays</w:t>
      </w:r>
      <w:r w:rsidR="009B0554">
        <w:rPr>
          <w:rFonts w:eastAsia="Arial"/>
        </w:rPr>
        <w:t>, respectively</w:t>
      </w:r>
      <w:r w:rsidR="0081742D">
        <w:rPr>
          <w:rFonts w:eastAsia="Arial"/>
          <w:lang w:val="en-US"/>
        </w:rPr>
        <w:t xml:space="preserve">. </w:t>
      </w:r>
      <w:r w:rsidR="003D27A5">
        <w:rPr>
          <w:rFonts w:eastAsia="Arial"/>
          <w:lang w:val="en-US"/>
        </w:rPr>
        <w:t xml:space="preserve">The endogenized costs of </w:t>
      </w:r>
      <w:r w:rsidRPr="005A4C7D">
        <w:rPr>
          <w:rFonts w:eastAsia="Arial"/>
        </w:rPr>
        <w:t>which are causing 130% and 214% volatility under LF and FRB at 17</w:t>
      </w:r>
      <w:r w:rsidR="00106913">
        <w:rPr>
          <w:rFonts w:eastAsia="Arial"/>
        </w:rPr>
        <w:t xml:space="preserve">% </w:t>
      </w:r>
      <w:r w:rsidRPr="005A4C7D">
        <w:rPr>
          <w:rFonts w:eastAsia="Arial"/>
          <w:vertAlign w:val="superscript"/>
        </w:rPr>
        <w:footnoteReference w:id="21"/>
      </w:r>
      <w:r w:rsidRPr="005A4C7D">
        <w:rPr>
          <w:rFonts w:eastAsia="Arial"/>
        </w:rPr>
        <w:t xml:space="preserve"> correspondingly</w:t>
      </w:r>
      <w:r w:rsidR="0081742D">
        <w:rPr>
          <w:rFonts w:eastAsia="Arial"/>
        </w:rPr>
        <w:t xml:space="preserve">. </w:t>
      </w:r>
    </w:p>
    <w:p w14:paraId="59969EC2" w14:textId="77777777" w:rsidR="00137F8E" w:rsidRPr="005A4C7D" w:rsidRDefault="00137F8E" w:rsidP="00137F8E">
      <w:pPr>
        <w:spacing w:line="360" w:lineRule="auto"/>
        <w:jc w:val="both"/>
        <w:rPr>
          <w:rFonts w:eastAsia="Arial"/>
        </w:rPr>
      </w:pPr>
    </w:p>
    <w:p w14:paraId="02555A43" w14:textId="437C09D0" w:rsidR="00137F8E" w:rsidRPr="005A4C7D" w:rsidRDefault="00137F8E" w:rsidP="00137F8E">
      <w:pPr>
        <w:spacing w:line="360" w:lineRule="auto"/>
        <w:jc w:val="both"/>
        <w:rPr>
          <w:rFonts w:eastAsia="Arial"/>
        </w:rPr>
      </w:pPr>
      <w:r w:rsidRPr="005A4C7D">
        <w:rPr>
          <w:rFonts w:eastAsia="Arial"/>
        </w:rPr>
        <w:t xml:space="preserve">Albeit, the Spearman correlation test suggests a significant moderate strong correlation of -0.33 (0.03), which means </w:t>
      </w:r>
      <w:r w:rsidRPr="005A4C7D">
        <w:rPr>
          <w:rFonts w:eastAsia="Arial"/>
          <w:lang w:val="en-US"/>
        </w:rPr>
        <w:t xml:space="preserve">unemployment reduction by one-third </w:t>
      </w:r>
      <w:r w:rsidRPr="005A4C7D">
        <w:rPr>
          <w:rFonts w:eastAsia="Arial"/>
        </w:rPr>
        <w:t>as ADB loans increase</w:t>
      </w:r>
      <w:r w:rsidR="0081742D">
        <w:rPr>
          <w:rFonts w:eastAsia="Arial"/>
          <w:lang w:val="en-US"/>
        </w:rPr>
        <w:t xml:space="preserve">. </w:t>
      </w:r>
      <w:r w:rsidRPr="005A4C7D">
        <w:rPr>
          <w:rFonts w:eastAsia="Arial"/>
          <w:lang w:val="en-US"/>
        </w:rPr>
        <w:t>T</w:t>
      </w:r>
      <w:r w:rsidRPr="005A4C7D">
        <w:rPr>
          <w:rFonts w:eastAsia="Arial"/>
        </w:rPr>
        <w:t>he trend goes in the opposite direction faster because of 5 and 7-year delays with a significant strong correlation of 0.81</w:t>
      </w:r>
      <w:r w:rsidR="00106913">
        <w:rPr>
          <w:rFonts w:eastAsia="Arial"/>
        </w:rPr>
        <w:t xml:space="preserve"> (</w:t>
      </w:r>
      <w:r w:rsidRPr="005A4C7D">
        <w:rPr>
          <w:rFonts w:eastAsia="Arial"/>
        </w:rPr>
        <w:t>0.00) and 0.79 (0.00) respectively with 100% disbursement in year-1. This implies that more ADB loans are reducing job creation or causing more unemployment and it</w:t>
      </w:r>
      <w:r w:rsidRPr="005A4C7D">
        <w:rPr>
          <w:rFonts w:eastAsia="Arial"/>
          <w:lang w:val="en-US"/>
        </w:rPr>
        <w:t xml:space="preserve"> </w:t>
      </w:r>
      <w:r w:rsidRPr="005A4C7D">
        <w:rPr>
          <w:rFonts w:eastAsia="Arial"/>
        </w:rPr>
        <w:t>worsen</w:t>
      </w:r>
      <w:r w:rsidRPr="005A4C7D">
        <w:rPr>
          <w:rFonts w:eastAsia="Arial"/>
          <w:lang w:val="en-US"/>
        </w:rPr>
        <w:t>s</w:t>
      </w:r>
      <w:r w:rsidRPr="005A4C7D">
        <w:rPr>
          <w:rFonts w:eastAsia="Arial"/>
        </w:rPr>
        <w:t xml:space="preserve"> by 80% hence 0.47 ~0.5 (0.80-0.33) or decays by half because of delays</w:t>
      </w:r>
      <w:r w:rsidR="0081742D">
        <w:rPr>
          <w:rFonts w:eastAsia="Arial"/>
        </w:rPr>
        <w:t xml:space="preserve">. </w:t>
      </w:r>
      <w:r w:rsidRPr="005A4C7D">
        <w:rPr>
          <w:rFonts w:eastAsia="Arial"/>
        </w:rPr>
        <w:t xml:space="preserve">Figure-5 shows unemployment is down from 5% to 2.8% (44%) before </w:t>
      </w:r>
      <w:r w:rsidR="00106913">
        <w:rPr>
          <w:rFonts w:eastAsia="Arial"/>
        </w:rPr>
        <w:t>increasing</w:t>
      </w:r>
      <w:r w:rsidRPr="005A4C7D">
        <w:rPr>
          <w:rFonts w:eastAsia="Arial"/>
        </w:rPr>
        <w:t xml:space="preserve"> to 5.5% (96%) hence an overall 50% increase (or job losses). This shows that overall ADB loans have no positive impact on reducing unemployment</w:t>
      </w:r>
      <w:r w:rsidR="0081742D">
        <w:rPr>
          <w:rFonts w:eastAsia="Arial"/>
          <w:lang w:val="en-US"/>
        </w:rPr>
        <w:t xml:space="preserve">. </w:t>
      </w:r>
      <w:r w:rsidR="003D27A5">
        <w:rPr>
          <w:rFonts w:eastAsia="Arial"/>
          <w:lang w:val="en-US"/>
        </w:rPr>
        <w:t>This</w:t>
      </w:r>
      <w:r w:rsidRPr="005A4C7D">
        <w:rPr>
          <w:rFonts w:eastAsia="Arial"/>
        </w:rPr>
        <w:t xml:space="preserve"> has proven that Ibnu Khaldun </w:t>
      </w:r>
      <w:r w:rsidR="00802116">
        <w:rPr>
          <w:bCs/>
        </w:rPr>
        <w:t>(1377</w:t>
      </w:r>
      <w:r w:rsidR="00802116">
        <w:rPr>
          <w:bCs/>
          <w:lang w:val="en-US"/>
        </w:rPr>
        <w:t>:</w:t>
      </w:r>
      <w:r w:rsidR="00802116">
        <w:rPr>
          <w:bCs/>
        </w:rPr>
        <w:t>359</w:t>
      </w:r>
      <w:r w:rsidR="00106913">
        <w:rPr>
          <w:bCs/>
        </w:rPr>
        <w:t xml:space="preserve">) </w:t>
      </w:r>
      <w:r w:rsidR="003952F4">
        <w:rPr>
          <w:rFonts w:eastAsia="Arial"/>
          <w:lang w:val="en-US"/>
        </w:rPr>
        <w:t xml:space="preserve">was </w:t>
      </w:r>
      <w:r w:rsidRPr="005A4C7D">
        <w:rPr>
          <w:rFonts w:eastAsia="Arial"/>
        </w:rPr>
        <w:t>right about the government intervention that brought about negative effects on social utility and a great mistake</w:t>
      </w:r>
      <w:r w:rsidR="0081742D">
        <w:rPr>
          <w:rFonts w:eastAsia="Arial"/>
        </w:rPr>
        <w:t xml:space="preserve">. </w:t>
      </w:r>
      <w:r w:rsidRPr="005A4C7D">
        <w:rPr>
          <w:rFonts w:eastAsia="Arial"/>
        </w:rPr>
        <w:t xml:space="preserve"> </w:t>
      </w:r>
    </w:p>
    <w:p w14:paraId="1F747164" w14:textId="77777777" w:rsidR="00137F8E" w:rsidRPr="005A4C7D" w:rsidRDefault="00137F8E" w:rsidP="00137F8E">
      <w:pPr>
        <w:spacing w:line="360" w:lineRule="auto"/>
        <w:jc w:val="both"/>
        <w:rPr>
          <w:rFonts w:eastAsia="Arial"/>
        </w:rPr>
      </w:pPr>
    </w:p>
    <w:p w14:paraId="512ED3E2" w14:textId="44C9ED1D" w:rsidR="00137F8E" w:rsidRPr="005A4C7D" w:rsidRDefault="00137F8E" w:rsidP="00137F8E">
      <w:pPr>
        <w:spacing w:line="360" w:lineRule="auto"/>
        <w:jc w:val="both"/>
        <w:rPr>
          <w:rFonts w:eastAsia="Arial"/>
        </w:rPr>
      </w:pPr>
      <w:r w:rsidRPr="005A4C7D">
        <w:rPr>
          <w:rFonts w:eastAsia="Arial"/>
        </w:rPr>
        <w:t xml:space="preserve">Disbursement delays slow the convergence between the increase of ADB loans and their impacts on unemployment, however, the LF and FRB speed up the intersection faster. </w:t>
      </w:r>
      <w:r w:rsidRPr="005A4C7D">
        <w:rPr>
          <w:rFonts w:eastAsia="Arial"/>
          <w:lang w:val="en-US"/>
        </w:rPr>
        <w:t>We translate this</w:t>
      </w:r>
      <w:r w:rsidRPr="005A4C7D">
        <w:rPr>
          <w:rFonts w:eastAsia="Arial"/>
        </w:rPr>
        <w:t xml:space="preserve"> as ADB </w:t>
      </w:r>
      <w:r w:rsidRPr="005A4C7D">
        <w:rPr>
          <w:rFonts w:eastAsia="Arial"/>
          <w:lang w:val="en-US"/>
        </w:rPr>
        <w:t>delays</w:t>
      </w:r>
      <w:r w:rsidRPr="005A4C7D">
        <w:rPr>
          <w:rFonts w:eastAsia="Arial"/>
        </w:rPr>
        <w:t xml:space="preserve"> disbursements, despite on the surface it slows down the worsening of unemployment</w:t>
      </w:r>
      <w:r w:rsidR="0081742D">
        <w:rPr>
          <w:rFonts w:eastAsia="Arial"/>
          <w:lang w:val="en-US"/>
        </w:rPr>
        <w:t xml:space="preserve">. </w:t>
      </w:r>
      <w:r w:rsidR="003D27A5">
        <w:rPr>
          <w:rFonts w:eastAsia="Arial"/>
          <w:lang w:val="en-US"/>
        </w:rPr>
        <w:t>I</w:t>
      </w:r>
      <w:r w:rsidRPr="005A4C7D">
        <w:rPr>
          <w:rFonts w:eastAsia="Arial"/>
        </w:rPr>
        <w:t xml:space="preserve">n the background, the costs of those delays after being monetized and </w:t>
      </w:r>
      <w:r w:rsidRPr="005A4C7D">
        <w:rPr>
          <w:rFonts w:eastAsia="Arial"/>
        </w:rPr>
        <w:lastRenderedPageBreak/>
        <w:t>endogenized are increasing unemployment even faster and worsening them when ADB loans starting at 1.2</w:t>
      </w:r>
      <w:r w:rsidR="0081742D">
        <w:rPr>
          <w:rFonts w:eastAsia="Arial"/>
        </w:rPr>
        <w:t>%-GDP</w:t>
      </w:r>
      <w:r w:rsidRPr="005A4C7D">
        <w:rPr>
          <w:rFonts w:eastAsia="Arial"/>
        </w:rPr>
        <w:t xml:space="preserve"> at 100% disbursement in year-1. We shall see the relevance of this when</w:t>
      </w:r>
      <w:r w:rsidRPr="005A4C7D">
        <w:rPr>
          <w:rFonts w:eastAsia="Arial"/>
          <w:lang w:val="en-US"/>
        </w:rPr>
        <w:t xml:space="preserve"> we triangulated </w:t>
      </w:r>
      <w:r w:rsidRPr="005A4C7D">
        <w:rPr>
          <w:rFonts w:eastAsia="Arial"/>
        </w:rPr>
        <w:t xml:space="preserve">the results </w:t>
      </w:r>
      <w:r w:rsidRPr="005A4C7D">
        <w:rPr>
          <w:rFonts w:eastAsia="Arial"/>
          <w:lang w:val="en-US"/>
        </w:rPr>
        <w:t xml:space="preserve">between the </w:t>
      </w:r>
      <w:r w:rsidRPr="005A4C7D">
        <w:rPr>
          <w:rFonts w:eastAsia="Arial"/>
        </w:rPr>
        <w:t>three approaches. The Pilot view is preparing us to see the negative impacts of ADB loans and their delays in worsening unemployment.</w:t>
      </w:r>
    </w:p>
    <w:p w14:paraId="0C836BAF" w14:textId="77777777" w:rsidR="00137F8E" w:rsidRPr="005A4C7D" w:rsidRDefault="00137F8E" w:rsidP="00137F8E">
      <w:pPr>
        <w:spacing w:after="160" w:line="360" w:lineRule="auto"/>
        <w:jc w:val="center"/>
        <w:rPr>
          <w:rFonts w:eastAsia="Arial"/>
        </w:rPr>
      </w:pPr>
    </w:p>
    <w:p w14:paraId="28C6BF3D" w14:textId="77777777" w:rsidR="00137F8E" w:rsidRPr="005A4C7D" w:rsidRDefault="00137F8E" w:rsidP="00137F8E">
      <w:pPr>
        <w:spacing w:before="120" w:after="120" w:line="360" w:lineRule="auto"/>
        <w:rPr>
          <w:rFonts w:eastAsia="Arial"/>
          <w:b/>
          <w:sz w:val="28"/>
          <w:szCs w:val="28"/>
        </w:rPr>
      </w:pPr>
      <w:r w:rsidRPr="005A4C7D">
        <w:rPr>
          <w:rFonts w:eastAsia="Arial"/>
          <w:b/>
          <w:sz w:val="28"/>
          <w:szCs w:val="28"/>
        </w:rPr>
        <w:t>DISCUSSION</w:t>
      </w:r>
    </w:p>
    <w:p w14:paraId="6BA35682" w14:textId="77777777" w:rsidR="00137F8E" w:rsidRPr="005A4C7D" w:rsidRDefault="00137F8E" w:rsidP="00137F8E">
      <w:pPr>
        <w:pStyle w:val="Heading2"/>
        <w:numPr>
          <w:ilvl w:val="1"/>
          <w:numId w:val="16"/>
        </w:numPr>
        <w:spacing w:line="360" w:lineRule="auto"/>
        <w:ind w:left="709" w:hanging="709"/>
        <w:rPr>
          <w:rFonts w:eastAsia="Arial"/>
        </w:rPr>
      </w:pPr>
      <w:r w:rsidRPr="005A4C7D">
        <w:rPr>
          <w:rFonts w:eastAsia="Arial"/>
          <w:sz w:val="24"/>
          <w:szCs w:val="24"/>
        </w:rPr>
        <w:t>Numerical</w:t>
      </w:r>
    </w:p>
    <w:p w14:paraId="743AA0C6" w14:textId="3F2760B6" w:rsidR="00137F8E" w:rsidRPr="005A4C7D" w:rsidRDefault="00137F8E" w:rsidP="00137F8E">
      <w:pPr>
        <w:spacing w:line="360" w:lineRule="auto"/>
        <w:jc w:val="both"/>
        <w:rPr>
          <w:rFonts w:eastAsia="Arial"/>
        </w:rPr>
      </w:pPr>
      <w:r w:rsidRPr="005A4C7D">
        <w:rPr>
          <w:rFonts w:eastAsia="Arial"/>
        </w:rPr>
        <w:t xml:space="preserve">Figure-6 shows ADB loans attribute for 3.13% of unemployment from </w:t>
      </w:r>
      <w:r w:rsidR="00106913">
        <w:rPr>
          <w:rFonts w:eastAsia="Arial"/>
          <w:lang w:val="en-US"/>
        </w:rPr>
        <w:t>the</w:t>
      </w:r>
      <w:r w:rsidRPr="005A4C7D">
        <w:rPr>
          <w:rFonts w:eastAsia="Arial"/>
        </w:rPr>
        <w:t xml:space="preserve"> national average of 4.053% per year </w:t>
      </w:r>
      <w:r w:rsidR="00F6136C" w:rsidRPr="005A4C7D">
        <w:rPr>
          <w:rFonts w:eastAsia="Arial"/>
          <w:lang w:val="en-US"/>
        </w:rPr>
        <w:t>under</w:t>
      </w:r>
      <w:r w:rsidRPr="005A4C7D">
        <w:rPr>
          <w:rFonts w:eastAsia="Arial"/>
        </w:rPr>
        <w:t xml:space="preserve"> 100% </w:t>
      </w:r>
      <w:r w:rsidR="00F6136C" w:rsidRPr="005A4C7D">
        <w:rPr>
          <w:rFonts w:eastAsia="Arial"/>
          <w:lang w:val="en-US"/>
        </w:rPr>
        <w:t xml:space="preserve">disbursement </w:t>
      </w:r>
      <w:r w:rsidRPr="005A4C7D">
        <w:rPr>
          <w:rFonts w:eastAsia="Arial"/>
        </w:rPr>
        <w:t xml:space="preserve">upon LA signing in year-1 into </w:t>
      </w:r>
      <w:r w:rsidR="00B6611F">
        <w:rPr>
          <w:rFonts w:eastAsia="Arial"/>
          <w:lang w:val="en-US"/>
        </w:rPr>
        <w:t xml:space="preserve">the economy of </w:t>
      </w:r>
      <w:r w:rsidRPr="005A4C7D">
        <w:rPr>
          <w:rFonts w:eastAsia="Arial"/>
        </w:rPr>
        <w:t>Indonesia</w:t>
      </w:r>
      <w:r w:rsidR="0081742D">
        <w:rPr>
          <w:rFonts w:eastAsia="Arial"/>
        </w:rPr>
        <w:t xml:space="preserve">. </w:t>
      </w:r>
      <w:r w:rsidRPr="005A4C7D">
        <w:rPr>
          <w:rFonts w:eastAsia="Arial"/>
        </w:rPr>
        <w:t>However, the decision not to 100% disburse in year-1 degenerate</w:t>
      </w:r>
      <w:r w:rsidR="002C58ED">
        <w:rPr>
          <w:rFonts w:eastAsia="Arial"/>
          <w:lang w:val="en-US"/>
        </w:rPr>
        <w:t>s</w:t>
      </w:r>
      <w:r w:rsidRPr="005A4C7D">
        <w:rPr>
          <w:rFonts w:eastAsia="Arial"/>
        </w:rPr>
        <w:t xml:space="preserve"> the ADB loans slice for unemployment by about 23% (from 3.13% to 2.40%) hence, exposes the negative impacts of disbursement delays versus 100% disbursement.</w:t>
      </w:r>
    </w:p>
    <w:p w14:paraId="0836CD56" w14:textId="77777777" w:rsidR="00137F8E" w:rsidRPr="005A4C7D" w:rsidRDefault="00137F8E" w:rsidP="00137F8E">
      <w:pPr>
        <w:jc w:val="both"/>
        <w:rPr>
          <w:rFonts w:eastAsia="Arial"/>
        </w:rPr>
      </w:pPr>
    </w:p>
    <w:p w14:paraId="39700408" w14:textId="77777777" w:rsidR="00137F8E" w:rsidRPr="005A4C7D" w:rsidRDefault="00137F8E" w:rsidP="00137F8E">
      <w:pPr>
        <w:jc w:val="both"/>
        <w:rPr>
          <w:rFonts w:eastAsia="Arial"/>
          <w:sz w:val="8"/>
          <w:szCs w:val="8"/>
        </w:rPr>
      </w:pPr>
      <w:r w:rsidRPr="005A4C7D">
        <w:rPr>
          <w:rFonts w:eastAsia="Arial"/>
          <w:sz w:val="8"/>
          <w:szCs w:val="8"/>
        </w:rPr>
        <w:t xml:space="preserve"> </w:t>
      </w:r>
    </w:p>
    <w:p w14:paraId="19576BB1" w14:textId="77777777" w:rsidR="00137F8E" w:rsidRPr="005A4C7D" w:rsidRDefault="00137F8E" w:rsidP="00137F8E">
      <w:pPr>
        <w:jc w:val="both"/>
        <w:rPr>
          <w:rFonts w:eastAsia="Arial"/>
          <w:sz w:val="8"/>
          <w:szCs w:val="8"/>
        </w:rPr>
      </w:pPr>
    </w:p>
    <w:p w14:paraId="49CB3566" w14:textId="0A46BA52" w:rsidR="00137F8E" w:rsidRPr="005A4C7D" w:rsidRDefault="00137F8E" w:rsidP="00137F8E">
      <w:pPr>
        <w:spacing w:line="360" w:lineRule="auto"/>
        <w:jc w:val="both"/>
        <w:rPr>
          <w:rFonts w:eastAsia="Arial"/>
        </w:rPr>
      </w:pPr>
      <w:r w:rsidRPr="005A4C7D">
        <w:rPr>
          <w:rFonts w:eastAsia="Arial"/>
        </w:rPr>
        <w:t>These values are much smaller compared with those under LF (incorporating 30% compounded interests and fees) and FRB (250%) which pulls unemployment into -4.06% and -6.70% correspondingly</w:t>
      </w:r>
      <w:r w:rsidRPr="005A4C7D">
        <w:rPr>
          <w:rFonts w:eastAsia="Arial"/>
          <w:lang w:val="en-US"/>
        </w:rPr>
        <w:t>, thus</w:t>
      </w:r>
      <w:r w:rsidRPr="005A4C7D">
        <w:rPr>
          <w:rFonts w:eastAsia="Arial"/>
        </w:rPr>
        <w:t xml:space="preserve"> a 200% volatility (Figure-7). The R-squared value shows that 94% deterioration of ADB loan values relevant to their employment creation potentials is because of delays. This means the stability of ADB loans in creating jobs is fewer than 10%. </w:t>
      </w:r>
      <w:r w:rsidRPr="005A4C7D">
        <w:rPr>
          <w:rFonts w:eastAsia="Arial"/>
          <w:lang w:val="en-US"/>
        </w:rPr>
        <w:t>We calculated t</w:t>
      </w:r>
      <w:r w:rsidRPr="005A4C7D">
        <w:rPr>
          <w:rFonts w:eastAsia="Arial"/>
        </w:rPr>
        <w:t xml:space="preserve">he FRB impact by considering that 15% of FRB amounts are for real GDP transactions and contribute to growth (Bezemer &amp; Hudson, 2016). Hence, to account for transaction costs, we apply 17% because of </w:t>
      </w:r>
      <w:r w:rsidR="000925F5">
        <w:rPr>
          <w:rFonts w:eastAsia="Arial"/>
        </w:rPr>
        <w:t xml:space="preserve">the </w:t>
      </w:r>
      <w:r w:rsidR="00D43229" w:rsidRPr="005A4C7D">
        <w:rPr>
          <w:rFonts w:eastAsia="Arial"/>
        </w:rPr>
        <w:t>U.S.</w:t>
      </w:r>
      <w:r w:rsidRPr="005A4C7D">
        <w:rPr>
          <w:rFonts w:eastAsia="Arial"/>
        </w:rPr>
        <w:t xml:space="preserve"> Dollar </w:t>
      </w:r>
      <w:r w:rsidR="00F6136C" w:rsidRPr="005A4C7D">
        <w:rPr>
          <w:rFonts w:eastAsia="Arial"/>
        </w:rPr>
        <w:t>denomination,</w:t>
      </w:r>
      <w:r w:rsidRPr="005A4C7D">
        <w:rPr>
          <w:rFonts w:eastAsia="Arial"/>
        </w:rPr>
        <w:t xml:space="preserve"> despite in Rupiah it is around 30% of real GDP transaction after disaggregating Bank Indonesia data.</w:t>
      </w:r>
    </w:p>
    <w:p w14:paraId="13CC6A91" w14:textId="77777777" w:rsidR="00137F8E" w:rsidRPr="005A4C7D" w:rsidRDefault="00137F8E" w:rsidP="00F03851">
      <w:pPr>
        <w:pStyle w:val="Heading2"/>
        <w:numPr>
          <w:ilvl w:val="1"/>
          <w:numId w:val="16"/>
        </w:numPr>
        <w:spacing w:line="360" w:lineRule="auto"/>
        <w:ind w:left="709" w:hanging="709"/>
        <w:rPr>
          <w:rFonts w:eastAsia="Arial"/>
          <w:sz w:val="24"/>
          <w:szCs w:val="24"/>
        </w:rPr>
      </w:pPr>
      <w:r w:rsidRPr="005A4C7D">
        <w:rPr>
          <w:rFonts w:eastAsia="Arial"/>
          <w:sz w:val="24"/>
          <w:szCs w:val="24"/>
        </w:rPr>
        <w:t>Graphical</w:t>
      </w:r>
    </w:p>
    <w:p w14:paraId="2420EE5B" w14:textId="7B7EB593" w:rsidR="00137F8E" w:rsidRPr="005A4C7D" w:rsidRDefault="00137F8E" w:rsidP="00137F8E">
      <w:pPr>
        <w:pBdr>
          <w:top w:val="nil"/>
          <w:left w:val="nil"/>
          <w:bottom w:val="nil"/>
          <w:right w:val="nil"/>
          <w:between w:val="nil"/>
        </w:pBdr>
        <w:spacing w:line="360" w:lineRule="auto"/>
        <w:jc w:val="both"/>
        <w:rPr>
          <w:rFonts w:eastAsia="Arial"/>
          <w:color w:val="141414"/>
        </w:rPr>
      </w:pPr>
      <w:r w:rsidRPr="005A4C7D">
        <w:rPr>
          <w:rFonts w:eastAsia="Arial"/>
          <w:color w:val="141414"/>
        </w:rPr>
        <w:t xml:space="preserve">Instead of using World Bank dataset with the ILO estimate (SL.UEM.TOTL.ZS), here we </w:t>
      </w:r>
      <w:r w:rsidRPr="005A4C7D">
        <w:rPr>
          <w:rFonts w:eastAsia="Arial"/>
        </w:rPr>
        <w:t xml:space="preserve">used the dataset for the national estimate (SL.UEM.TOTL.NE.ZS) to reflect the confidence of Indonesia on their unemployment level to minimize the gaps if </w:t>
      </w:r>
      <w:r w:rsidRPr="005A4C7D">
        <w:rPr>
          <w:rFonts w:eastAsia="Arial"/>
          <w:lang w:val="en-US"/>
        </w:rPr>
        <w:t xml:space="preserve">we used </w:t>
      </w:r>
      <w:r w:rsidRPr="005A4C7D">
        <w:rPr>
          <w:rFonts w:eastAsia="Arial"/>
        </w:rPr>
        <w:t>larger values</w:t>
      </w:r>
      <w:r w:rsidRPr="005A4C7D">
        <w:rPr>
          <w:rFonts w:eastAsia="Arial"/>
          <w:lang w:val="en-US"/>
        </w:rPr>
        <w:t xml:space="preserve"> </w:t>
      </w:r>
      <w:r w:rsidRPr="005A4C7D">
        <w:rPr>
          <w:rFonts w:eastAsia="Arial"/>
        </w:rPr>
        <w:t>such as the ILO estimate. Notwithstanding the smaller values, STATA graphical results are similar</w:t>
      </w:r>
      <w:r w:rsidR="0081742D">
        <w:rPr>
          <w:rFonts w:eastAsia="Arial"/>
        </w:rPr>
        <w:t xml:space="preserve">. </w:t>
      </w:r>
      <w:r w:rsidRPr="005A4C7D">
        <w:rPr>
          <w:rFonts w:eastAsia="Arial"/>
        </w:rPr>
        <w:t xml:space="preserve">Hence, after observing data trend lines between linear, quadratic, and polynomial, </w:t>
      </w:r>
      <w:r w:rsidRPr="005A4C7D">
        <w:rPr>
          <w:rFonts w:eastAsia="Arial"/>
          <w:lang w:val="en-US"/>
        </w:rPr>
        <w:t xml:space="preserve">we selected </w:t>
      </w:r>
      <w:r w:rsidRPr="005A4C7D">
        <w:rPr>
          <w:rFonts w:eastAsia="Arial"/>
        </w:rPr>
        <w:t xml:space="preserve">the </w:t>
      </w:r>
      <w:r w:rsidRPr="005A4C7D">
        <w:rPr>
          <w:rFonts w:eastAsia="Arial"/>
          <w:i/>
        </w:rPr>
        <w:t>fractional polynomial</w:t>
      </w:r>
      <w:r w:rsidRPr="005A4C7D">
        <w:rPr>
          <w:rFonts w:eastAsia="Arial"/>
        </w:rPr>
        <w:t xml:space="preserve"> (FP) as an intermediate</w:t>
      </w:r>
      <w:r w:rsidRPr="005A4C7D">
        <w:rPr>
          <w:rFonts w:eastAsia="Arial"/>
          <w:sz w:val="32"/>
          <w:szCs w:val="32"/>
        </w:rPr>
        <w:t xml:space="preserve"> </w:t>
      </w:r>
      <w:r w:rsidRPr="005A4C7D">
        <w:rPr>
          <w:rFonts w:eastAsia="Arial"/>
        </w:rPr>
        <w:t xml:space="preserve">between non-linear and polynomial (Royston and Sauerbrei, 2007:27). </w:t>
      </w:r>
      <w:r w:rsidRPr="005A4C7D">
        <w:rPr>
          <w:rFonts w:eastAsia="Arial"/>
          <w:lang w:val="en-US"/>
        </w:rPr>
        <w:t xml:space="preserve">We chose </w:t>
      </w:r>
      <w:r w:rsidRPr="005A4C7D">
        <w:rPr>
          <w:rFonts w:eastAsia="Arial"/>
        </w:rPr>
        <w:t xml:space="preserve">FP over linear regression since its Bayesian information criteria (BIC) is smaller (Table-2). </w:t>
      </w:r>
    </w:p>
    <w:p w14:paraId="1E64DCF2" w14:textId="77777777" w:rsidR="00137F8E" w:rsidRPr="005A4C7D" w:rsidRDefault="00137F8E" w:rsidP="00137F8E">
      <w:pPr>
        <w:pBdr>
          <w:top w:val="nil"/>
          <w:left w:val="nil"/>
          <w:bottom w:val="nil"/>
          <w:right w:val="nil"/>
          <w:between w:val="nil"/>
        </w:pBdr>
        <w:spacing w:line="360" w:lineRule="auto"/>
        <w:jc w:val="both"/>
        <w:rPr>
          <w:rFonts w:eastAsia="Arial"/>
        </w:rPr>
      </w:pPr>
    </w:p>
    <w:p w14:paraId="1E7CF91F" w14:textId="6658FE68" w:rsidR="00137F8E" w:rsidRPr="005A4C7D" w:rsidRDefault="00137F8E" w:rsidP="00137F8E">
      <w:pPr>
        <w:pBdr>
          <w:top w:val="nil"/>
          <w:left w:val="nil"/>
          <w:bottom w:val="nil"/>
          <w:right w:val="nil"/>
          <w:between w:val="nil"/>
        </w:pBdr>
        <w:spacing w:line="360" w:lineRule="auto"/>
        <w:jc w:val="both"/>
        <w:rPr>
          <w:rFonts w:eastAsia="Arial"/>
        </w:rPr>
      </w:pPr>
      <w:r w:rsidRPr="005A4C7D">
        <w:rPr>
          <w:rFonts w:eastAsia="Arial"/>
        </w:rPr>
        <w:t xml:space="preserve">Figure-8 presents the comparison between linear and FP graphs with and without the outlier. From which we can see that </w:t>
      </w:r>
      <w:r w:rsidR="00F6136C" w:rsidRPr="005A4C7D">
        <w:rPr>
          <w:rFonts w:eastAsia="Arial"/>
          <w:lang w:val="en-US"/>
        </w:rPr>
        <w:t xml:space="preserve">linear regression does not capture </w:t>
      </w:r>
      <w:r w:rsidRPr="005A4C7D">
        <w:rPr>
          <w:rFonts w:eastAsia="Arial"/>
        </w:rPr>
        <w:t xml:space="preserve">much of the detailed information, while FP is better at </w:t>
      </w:r>
      <w:r w:rsidR="00F6136C" w:rsidRPr="005A4C7D">
        <w:rPr>
          <w:rFonts w:eastAsia="Arial"/>
        </w:rPr>
        <w:t>getting</w:t>
      </w:r>
      <w:r w:rsidRPr="005A4C7D">
        <w:rPr>
          <w:rFonts w:eastAsia="Arial"/>
        </w:rPr>
        <w:t xml:space="preserve"> them. Linear lines show a continuous decrease in unemployment </w:t>
      </w:r>
      <w:r w:rsidRPr="005A4C7D">
        <w:rPr>
          <w:rFonts w:eastAsia="Arial"/>
          <w:lang w:val="en-US"/>
        </w:rPr>
        <w:t xml:space="preserve">corresponding with the increase in </w:t>
      </w:r>
      <w:r w:rsidRPr="005A4C7D">
        <w:rPr>
          <w:rFonts w:eastAsia="Arial"/>
        </w:rPr>
        <w:t>ADB loans (</w:t>
      </w:r>
      <w:r w:rsidR="0081742D">
        <w:rPr>
          <w:rFonts w:eastAsia="Arial"/>
        </w:rPr>
        <w:t>%-GDP</w:t>
      </w:r>
      <w:r w:rsidRPr="005A4C7D">
        <w:rPr>
          <w:rFonts w:eastAsia="Arial"/>
        </w:rPr>
        <w:t>)</w:t>
      </w:r>
      <w:r w:rsidR="00F6136C" w:rsidRPr="005A4C7D">
        <w:rPr>
          <w:rFonts w:eastAsia="Arial"/>
          <w:lang w:val="en-US"/>
        </w:rPr>
        <w:t xml:space="preserve"> whereas FP lines are closely relevant with the actual data</w:t>
      </w:r>
      <w:r w:rsidR="0081742D">
        <w:rPr>
          <w:rFonts w:eastAsia="Arial"/>
          <w:lang w:val="en-US"/>
        </w:rPr>
        <w:t xml:space="preserve">. </w:t>
      </w:r>
    </w:p>
    <w:p w14:paraId="3B6DDF7F" w14:textId="77777777" w:rsidR="00137F8E" w:rsidRPr="005A4C7D" w:rsidRDefault="00137F8E" w:rsidP="00137F8E">
      <w:pPr>
        <w:pBdr>
          <w:top w:val="nil"/>
          <w:left w:val="nil"/>
          <w:bottom w:val="nil"/>
          <w:right w:val="nil"/>
          <w:between w:val="nil"/>
        </w:pBdr>
        <w:jc w:val="both"/>
        <w:rPr>
          <w:rFonts w:eastAsia="Arial"/>
        </w:rPr>
      </w:pPr>
    </w:p>
    <w:p w14:paraId="0123DEB0" w14:textId="77777777" w:rsidR="00137F8E" w:rsidRPr="005A4C7D" w:rsidRDefault="00137F8E" w:rsidP="00137F8E">
      <w:pPr>
        <w:pBdr>
          <w:top w:val="nil"/>
          <w:left w:val="nil"/>
          <w:bottom w:val="nil"/>
          <w:right w:val="nil"/>
          <w:between w:val="nil"/>
        </w:pBdr>
        <w:spacing w:line="360" w:lineRule="auto"/>
        <w:jc w:val="both"/>
        <w:rPr>
          <w:rFonts w:eastAsia="Arial"/>
          <w:b/>
          <w:i/>
          <w:color w:val="141414"/>
        </w:rPr>
      </w:pPr>
      <w:r w:rsidRPr="005A4C7D">
        <w:rPr>
          <w:rFonts w:eastAsia="Arial"/>
          <w:b/>
          <w:i/>
          <w:color w:val="141414"/>
          <w:u w:val="single"/>
        </w:rPr>
        <w:t>Note:</w:t>
      </w:r>
      <w:r w:rsidRPr="005A4C7D">
        <w:rPr>
          <w:rFonts w:eastAsia="Arial"/>
          <w:b/>
          <w:i/>
          <w:color w:val="141414"/>
        </w:rPr>
        <w:t xml:space="preserve"> Dangers of excluding outliers!</w:t>
      </w:r>
    </w:p>
    <w:p w14:paraId="5822A75B" w14:textId="3257AC23" w:rsidR="00137F8E" w:rsidRPr="005A4C7D" w:rsidRDefault="00137F8E" w:rsidP="00137F8E">
      <w:pPr>
        <w:pBdr>
          <w:top w:val="nil"/>
          <w:left w:val="nil"/>
          <w:bottom w:val="nil"/>
          <w:right w:val="nil"/>
          <w:between w:val="nil"/>
        </w:pBdr>
        <w:spacing w:line="360" w:lineRule="auto"/>
        <w:jc w:val="both"/>
        <w:rPr>
          <w:rFonts w:eastAsia="Arial"/>
          <w:color w:val="141414"/>
        </w:rPr>
      </w:pPr>
      <w:r w:rsidRPr="005A4C7D">
        <w:rPr>
          <w:rFonts w:eastAsia="Arial"/>
          <w:color w:val="141414"/>
        </w:rPr>
        <w:t>ADB loan at 2.3</w:t>
      </w:r>
      <w:r w:rsidR="0081742D">
        <w:rPr>
          <w:rFonts w:eastAsia="Arial"/>
          <w:color w:val="141414"/>
        </w:rPr>
        <w:t>%-GDP</w:t>
      </w:r>
      <w:r w:rsidRPr="005A4C7D">
        <w:rPr>
          <w:rFonts w:eastAsia="Arial"/>
          <w:color w:val="141414"/>
        </w:rPr>
        <w:t xml:space="preserve"> in 1998 (financial crisis) at 100% disbursement in year-1, if treated as outlier hence eliminated, would give a delusive picture that more ADB loans reduce unemployment (Figure-8 to 11, Outlier excluded, see 100% Disbursement in year-1)</w:t>
      </w:r>
      <w:r w:rsidR="0081742D">
        <w:rPr>
          <w:rFonts w:eastAsia="Arial"/>
          <w:color w:val="141414"/>
        </w:rPr>
        <w:t xml:space="preserve">. </w:t>
      </w:r>
      <w:r w:rsidRPr="005A4C7D">
        <w:rPr>
          <w:rFonts w:eastAsia="Arial"/>
          <w:color w:val="141414"/>
        </w:rPr>
        <w:t xml:space="preserve">This is false as captured by DOA-BOGOR in FP in 5- and 7-year disbursement in which both exhibit that unemployment </w:t>
      </w:r>
      <w:r w:rsidRPr="005A4C7D">
        <w:rPr>
          <w:rFonts w:eastAsia="Arial"/>
          <w:color w:val="141414"/>
          <w:lang w:val="en-US"/>
        </w:rPr>
        <w:t>increases</w:t>
      </w:r>
      <w:r w:rsidRPr="005A4C7D">
        <w:rPr>
          <w:rFonts w:eastAsia="Arial"/>
          <w:color w:val="141414"/>
        </w:rPr>
        <w:t xml:space="preserve"> </w:t>
      </w:r>
      <w:r w:rsidRPr="005A4C7D">
        <w:rPr>
          <w:rFonts w:eastAsia="Arial"/>
          <w:color w:val="141414"/>
          <w:lang w:val="en-US"/>
        </w:rPr>
        <w:t>corresponds with the size of</w:t>
      </w:r>
      <w:r w:rsidRPr="005A4C7D">
        <w:rPr>
          <w:rFonts w:eastAsia="Arial"/>
          <w:color w:val="141414"/>
        </w:rPr>
        <w:t xml:space="preserve"> ADB loans and linearly correlated with the length of the delays</w:t>
      </w:r>
      <w:r w:rsidR="0081742D">
        <w:rPr>
          <w:rFonts w:eastAsia="Arial"/>
          <w:color w:val="141414"/>
          <w:lang w:val="en-US"/>
        </w:rPr>
        <w:t xml:space="preserve">. </w:t>
      </w:r>
      <w:r w:rsidR="003B181B">
        <w:rPr>
          <w:rFonts w:eastAsia="Arial"/>
          <w:color w:val="141414"/>
          <w:lang w:val="en-US"/>
        </w:rPr>
        <w:t>This</w:t>
      </w:r>
      <w:r w:rsidRPr="005A4C7D">
        <w:rPr>
          <w:rFonts w:eastAsia="Arial"/>
          <w:color w:val="141414"/>
        </w:rPr>
        <w:t xml:space="preserve"> means, the longer the delays, the worse is </w:t>
      </w:r>
      <w:r w:rsidR="00106913">
        <w:rPr>
          <w:rFonts w:eastAsia="Arial"/>
          <w:color w:val="141414"/>
        </w:rPr>
        <w:t>unemployment,</w:t>
      </w:r>
      <w:r w:rsidRPr="005A4C7D">
        <w:rPr>
          <w:rFonts w:eastAsia="Arial"/>
          <w:color w:val="141414"/>
        </w:rPr>
        <w:t xml:space="preserve"> which is a sign of ineffective investment</w:t>
      </w:r>
      <w:r w:rsidR="0081742D">
        <w:rPr>
          <w:rFonts w:eastAsia="Arial"/>
          <w:color w:val="141414"/>
        </w:rPr>
        <w:t xml:space="preserve">. </w:t>
      </w:r>
      <w:r w:rsidR="00936880">
        <w:rPr>
          <w:rFonts w:eastAsia="Arial"/>
          <w:color w:val="141414"/>
          <w:lang w:val="en-US"/>
        </w:rPr>
        <w:t xml:space="preserve">It is our view that when </w:t>
      </w:r>
      <w:r w:rsidRPr="005A4C7D">
        <w:rPr>
          <w:rFonts w:eastAsia="Arial"/>
          <w:color w:val="141414"/>
        </w:rPr>
        <w:t xml:space="preserve">dealing with loan data, </w:t>
      </w:r>
      <w:r w:rsidRPr="005A4C7D">
        <w:rPr>
          <w:rFonts w:eastAsia="Arial"/>
          <w:color w:val="141414"/>
          <w:lang w:val="en-US"/>
        </w:rPr>
        <w:t xml:space="preserve">one should not exclude </w:t>
      </w:r>
      <w:r w:rsidRPr="005A4C7D">
        <w:rPr>
          <w:rFonts w:eastAsia="Arial"/>
          <w:color w:val="141414"/>
        </w:rPr>
        <w:t>outliers</w:t>
      </w:r>
      <w:r w:rsidR="0081742D">
        <w:rPr>
          <w:rFonts w:eastAsia="Arial"/>
          <w:color w:val="141414"/>
        </w:rPr>
        <w:t xml:space="preserve">. </w:t>
      </w:r>
      <w:r w:rsidRPr="005A4C7D">
        <w:rPr>
          <w:rFonts w:eastAsia="Arial"/>
          <w:color w:val="141414"/>
        </w:rPr>
        <w:t xml:space="preserve">After all, </w:t>
      </w:r>
      <w:r w:rsidR="00F6136C" w:rsidRPr="005A4C7D">
        <w:rPr>
          <w:rFonts w:eastAsia="Arial"/>
          <w:color w:val="141414"/>
        </w:rPr>
        <w:t xml:space="preserve">we must account </w:t>
      </w:r>
      <w:r w:rsidR="000925F5">
        <w:rPr>
          <w:rFonts w:eastAsia="Arial"/>
          <w:color w:val="141414"/>
        </w:rPr>
        <w:t xml:space="preserve">for </w:t>
      </w:r>
      <w:r w:rsidR="00F6136C" w:rsidRPr="005A4C7D">
        <w:rPr>
          <w:rFonts w:eastAsia="Arial"/>
          <w:color w:val="141414"/>
        </w:rPr>
        <w:t>them</w:t>
      </w:r>
      <w:r w:rsidRPr="005A4C7D">
        <w:rPr>
          <w:rFonts w:eastAsia="Arial"/>
          <w:color w:val="141414"/>
          <w:lang w:val="en-US"/>
        </w:rPr>
        <w:t xml:space="preserve"> since they </w:t>
      </w:r>
      <w:r w:rsidRPr="005A4C7D">
        <w:rPr>
          <w:rFonts w:eastAsia="Arial"/>
          <w:color w:val="141414"/>
        </w:rPr>
        <w:t>are public money.</w:t>
      </w:r>
    </w:p>
    <w:p w14:paraId="447B2859" w14:textId="77777777" w:rsidR="00137F8E" w:rsidRPr="005A4C7D" w:rsidRDefault="00137F8E" w:rsidP="00137F8E">
      <w:pPr>
        <w:pBdr>
          <w:top w:val="nil"/>
          <w:left w:val="nil"/>
          <w:bottom w:val="nil"/>
          <w:right w:val="nil"/>
          <w:between w:val="nil"/>
        </w:pBdr>
        <w:spacing w:line="360" w:lineRule="auto"/>
        <w:jc w:val="both"/>
        <w:rPr>
          <w:rFonts w:eastAsia="Arial"/>
          <w:color w:val="141414"/>
        </w:rPr>
      </w:pPr>
    </w:p>
    <w:p w14:paraId="43C7BEEA" w14:textId="2276F0EC" w:rsidR="00137F8E" w:rsidRPr="005A4C7D" w:rsidRDefault="00137F8E" w:rsidP="00137F8E">
      <w:pPr>
        <w:pBdr>
          <w:top w:val="nil"/>
          <w:left w:val="nil"/>
          <w:bottom w:val="nil"/>
          <w:right w:val="nil"/>
          <w:between w:val="nil"/>
        </w:pBdr>
        <w:spacing w:line="360" w:lineRule="auto"/>
        <w:jc w:val="both"/>
        <w:rPr>
          <w:rFonts w:eastAsia="Arial"/>
          <w:color w:val="141414"/>
        </w:rPr>
      </w:pPr>
      <w:r w:rsidRPr="005A4C7D">
        <w:rPr>
          <w:rFonts w:eastAsia="Arial"/>
        </w:rPr>
        <w:t>Figure-9 displays the 95% confidence interval with a larger confidence area as ADB loans increase, and Figure-9 shows areas affected by delays and differ from the 100% disbursement</w:t>
      </w:r>
      <w:r w:rsidR="0081742D">
        <w:rPr>
          <w:rFonts w:eastAsia="Arial"/>
        </w:rPr>
        <w:t xml:space="preserve">. </w:t>
      </w:r>
      <w:r w:rsidRPr="005A4C7D">
        <w:rPr>
          <w:rFonts w:eastAsia="Arial"/>
        </w:rPr>
        <w:t>Figure-10 exhibits the coordinates of specific observed points</w:t>
      </w:r>
      <w:r w:rsidR="0081742D">
        <w:rPr>
          <w:rFonts w:eastAsia="Arial"/>
        </w:rPr>
        <w:t xml:space="preserve">. </w:t>
      </w:r>
      <w:r w:rsidRPr="005A4C7D">
        <w:rPr>
          <w:rFonts w:eastAsia="Arial"/>
          <w:color w:val="141414"/>
        </w:rPr>
        <w:t xml:space="preserve">These graphs show the condition with and without the outlier. Both show the same downward and followed by upward movements which means, as ADB loans increase, unemployment initially reduced but then increased. These were shortened and then worsened by half because of disbursement delays. </w:t>
      </w:r>
    </w:p>
    <w:p w14:paraId="60F3F604" w14:textId="77777777" w:rsidR="00137F8E" w:rsidRPr="005A4C7D" w:rsidRDefault="00137F8E" w:rsidP="00137F8E">
      <w:pPr>
        <w:pBdr>
          <w:top w:val="nil"/>
          <w:left w:val="nil"/>
          <w:bottom w:val="nil"/>
          <w:right w:val="nil"/>
          <w:between w:val="nil"/>
        </w:pBdr>
        <w:spacing w:after="120"/>
        <w:rPr>
          <w:rFonts w:eastAsia="Arial"/>
        </w:rPr>
      </w:pPr>
    </w:p>
    <w:p w14:paraId="0A31DD96" w14:textId="02A8070E" w:rsidR="00137F8E" w:rsidRPr="005A4C7D" w:rsidRDefault="00137F8E" w:rsidP="00137F8E">
      <w:pPr>
        <w:pBdr>
          <w:top w:val="nil"/>
          <w:left w:val="nil"/>
          <w:bottom w:val="nil"/>
          <w:right w:val="nil"/>
          <w:between w:val="nil"/>
        </w:pBdr>
        <w:spacing w:line="360" w:lineRule="auto"/>
        <w:jc w:val="both"/>
        <w:rPr>
          <w:rFonts w:eastAsia="Arial"/>
        </w:rPr>
      </w:pPr>
      <w:r w:rsidRPr="005A4C7D">
        <w:rPr>
          <w:rFonts w:eastAsia="Arial"/>
        </w:rPr>
        <w:t>Hence, STATA Twoway graph fractional polynomial function (fpfit) predicted that ADB loans (at 0.415</w:t>
      </w:r>
      <w:r w:rsidR="0081742D">
        <w:rPr>
          <w:rFonts w:eastAsia="Arial"/>
        </w:rPr>
        <w:t>%-GDP</w:t>
      </w:r>
      <w:r w:rsidRPr="005A4C7D">
        <w:rPr>
          <w:rFonts w:eastAsia="Arial"/>
        </w:rPr>
        <w:t xml:space="preserve"> average loans to Indonesia, 1969-2017), if disbursed 100% in year-1, while they slightly maintain steady one-third unemployment reduction from 5.6% to 3.6%, the effects worsened beyond 0.415</w:t>
      </w:r>
      <w:r w:rsidR="0081742D">
        <w:rPr>
          <w:rFonts w:eastAsia="Arial"/>
        </w:rPr>
        <w:t>%-GDP</w:t>
      </w:r>
      <w:r w:rsidRPr="005A4C7D">
        <w:rPr>
          <w:rFonts w:eastAsia="Arial"/>
        </w:rPr>
        <w:t xml:space="preserve"> (Figure-11). In tandem with 5- and 7-year delays, ADB loans, plus their annual interest rate beyond 2% per annum signals a severe </w:t>
      </w:r>
      <w:r w:rsidR="000869CF" w:rsidRPr="005A4C7D">
        <w:rPr>
          <w:rFonts w:eastAsia="Arial"/>
        </w:rPr>
        <w:t>deterioration</w:t>
      </w:r>
      <w:r w:rsidRPr="005A4C7D">
        <w:rPr>
          <w:rFonts w:eastAsia="Arial"/>
        </w:rPr>
        <w:t xml:space="preserve"> of Indonesia unemployment at 0.79</w:t>
      </w:r>
      <w:r w:rsidR="0081742D">
        <w:rPr>
          <w:rFonts w:eastAsia="Arial"/>
        </w:rPr>
        <w:t>%-GDP</w:t>
      </w:r>
      <w:r w:rsidRPr="005A4C7D">
        <w:rPr>
          <w:rFonts w:eastAsia="Arial"/>
        </w:rPr>
        <w:t xml:space="preserve"> as it is reversing the initial one-third gains</w:t>
      </w:r>
      <w:r w:rsidR="0081742D">
        <w:rPr>
          <w:rFonts w:eastAsia="Arial"/>
        </w:rPr>
        <w:t xml:space="preserve">. </w:t>
      </w:r>
      <w:r w:rsidRPr="005A4C7D">
        <w:rPr>
          <w:rFonts w:eastAsia="Arial"/>
        </w:rPr>
        <w:t>Meaning ADB loans plus interest have no impact at all on reducing unemployment</w:t>
      </w:r>
      <w:r w:rsidR="0081742D">
        <w:rPr>
          <w:rFonts w:eastAsia="Arial"/>
        </w:rPr>
        <w:t xml:space="preserve">. </w:t>
      </w:r>
    </w:p>
    <w:p w14:paraId="360E66B6" w14:textId="77777777" w:rsidR="00137F8E" w:rsidRPr="005A4C7D" w:rsidRDefault="00137F8E" w:rsidP="00137F8E">
      <w:pPr>
        <w:pBdr>
          <w:top w:val="nil"/>
          <w:left w:val="nil"/>
          <w:bottom w:val="nil"/>
          <w:right w:val="nil"/>
          <w:between w:val="nil"/>
        </w:pBdr>
        <w:spacing w:line="360" w:lineRule="auto"/>
        <w:jc w:val="both"/>
        <w:rPr>
          <w:rFonts w:eastAsia="Arial"/>
        </w:rPr>
      </w:pPr>
    </w:p>
    <w:p w14:paraId="618715D4" w14:textId="08E25F3E" w:rsidR="00137F8E" w:rsidRPr="005A4C7D" w:rsidRDefault="00137F8E" w:rsidP="00137F8E">
      <w:pPr>
        <w:pBdr>
          <w:top w:val="nil"/>
          <w:left w:val="nil"/>
          <w:bottom w:val="nil"/>
          <w:right w:val="nil"/>
          <w:between w:val="nil"/>
        </w:pBdr>
        <w:spacing w:line="360" w:lineRule="auto"/>
        <w:jc w:val="both"/>
        <w:rPr>
          <w:rFonts w:eastAsia="Arial"/>
        </w:rPr>
      </w:pPr>
      <w:r w:rsidRPr="005A4C7D">
        <w:rPr>
          <w:rFonts w:eastAsia="Arial"/>
        </w:rPr>
        <w:t>Despite it initially reduces unemployment until ADB loans at 0.415</w:t>
      </w:r>
      <w:r w:rsidR="0081742D">
        <w:rPr>
          <w:rFonts w:eastAsia="Arial"/>
        </w:rPr>
        <w:t>%-GDP</w:t>
      </w:r>
      <w:r w:rsidRPr="005A4C7D">
        <w:rPr>
          <w:rFonts w:eastAsia="Arial"/>
        </w:rPr>
        <w:t xml:space="preserve"> (average 1969-2017), they increase it by over 1.7 times (5.01% to 8.9%)</w:t>
      </w:r>
      <w:r w:rsidR="0081742D">
        <w:rPr>
          <w:rFonts w:eastAsia="Arial"/>
        </w:rPr>
        <w:t xml:space="preserve">. </w:t>
      </w:r>
      <w:r w:rsidRPr="005A4C7D">
        <w:rPr>
          <w:rFonts w:eastAsia="Arial"/>
        </w:rPr>
        <w:t xml:space="preserve">Interestingly, even at 100% </w:t>
      </w:r>
      <w:r w:rsidRPr="005A4C7D">
        <w:rPr>
          <w:rFonts w:eastAsia="Arial"/>
        </w:rPr>
        <w:lastRenderedPageBreak/>
        <w:t>disbursement in year-1 under LF (0.54</w:t>
      </w:r>
      <w:r w:rsidR="0081742D">
        <w:rPr>
          <w:rFonts w:eastAsia="Arial"/>
        </w:rPr>
        <w:t>%-GDP</w:t>
      </w:r>
      <w:r w:rsidRPr="005A4C7D">
        <w:rPr>
          <w:rFonts w:eastAsia="Arial"/>
        </w:rPr>
        <w:t xml:space="preserve">) which is the loan amount plus compounded interest on </w:t>
      </w:r>
      <w:r w:rsidRPr="00A9545F">
        <w:rPr>
          <w:rFonts w:eastAsia="Arial"/>
          <w:i/>
          <w:iCs/>
        </w:rPr>
        <w:t>undisbursed amounts</w:t>
      </w:r>
      <w:r w:rsidRPr="005A4C7D">
        <w:rPr>
          <w:rFonts w:eastAsia="Arial"/>
        </w:rPr>
        <w:t xml:space="preserve"> is already increasing unemployment or reducing jobs (</w:t>
      </w:r>
      <w:r w:rsidRPr="005A4C7D">
        <w:rPr>
          <w:rFonts w:eastAsia="Arial"/>
          <w:lang w:val="en-US"/>
        </w:rPr>
        <w:t xml:space="preserve">inclusive </w:t>
      </w:r>
      <w:r w:rsidRPr="005A4C7D">
        <w:rPr>
          <w:rFonts w:eastAsia="Arial"/>
        </w:rPr>
        <w:t>outlier). Under FRB (17%x12.5x0.415</w:t>
      </w:r>
      <w:r w:rsidR="0081742D">
        <w:rPr>
          <w:rFonts w:eastAsia="Arial"/>
        </w:rPr>
        <w:t>%-GDP</w:t>
      </w:r>
      <w:r w:rsidRPr="005A4C7D">
        <w:rPr>
          <w:rFonts w:eastAsia="Arial"/>
        </w:rPr>
        <w:t>= 0.9</w:t>
      </w:r>
      <w:r w:rsidR="0081742D">
        <w:rPr>
          <w:rFonts w:eastAsia="Arial"/>
        </w:rPr>
        <w:t>%-GDP</w:t>
      </w:r>
      <w:r w:rsidRPr="005A4C7D">
        <w:rPr>
          <w:rFonts w:eastAsia="Arial"/>
        </w:rPr>
        <w:t>), which is slightly below 5% interest payments</w:t>
      </w:r>
      <w:r w:rsidR="00A4655D" w:rsidRPr="005A4C7D">
        <w:rPr>
          <w:rFonts w:eastAsia="Arial"/>
        </w:rPr>
        <w:t>,</w:t>
      </w:r>
      <w:r w:rsidRPr="005A4C7D">
        <w:rPr>
          <w:rFonts w:eastAsia="Arial"/>
        </w:rPr>
        <w:t xml:space="preserve"> are aggravating unemployment. This hints that the impact of the money created under LF and/or FRB or CC but not in favor of Indonesia</w:t>
      </w:r>
      <w:r w:rsidR="002C58ED">
        <w:rPr>
          <w:rFonts w:eastAsia="Arial"/>
          <w:lang w:val="en-US"/>
        </w:rPr>
        <w:t xml:space="preserve"> </w:t>
      </w:r>
      <w:r w:rsidRPr="005A4C7D">
        <w:rPr>
          <w:rFonts w:eastAsia="Arial"/>
        </w:rPr>
        <w:t xml:space="preserve">upon LA signing, makes ADB loans negatively influencing unemployment. Indonesia is better off without ADB loans for job creation or </w:t>
      </w:r>
      <w:r w:rsidR="00A4655D" w:rsidRPr="005A4C7D">
        <w:rPr>
          <w:rFonts w:eastAsia="Arial"/>
        </w:rPr>
        <w:t xml:space="preserve">for </w:t>
      </w:r>
      <w:r w:rsidRPr="005A4C7D">
        <w:rPr>
          <w:rFonts w:eastAsia="Arial"/>
        </w:rPr>
        <w:t>reducing the unemployment level</w:t>
      </w:r>
      <w:r w:rsidR="0081742D">
        <w:rPr>
          <w:rFonts w:eastAsia="Arial"/>
        </w:rPr>
        <w:t xml:space="preserve">. </w:t>
      </w:r>
      <w:r w:rsidRPr="005A4C7D">
        <w:rPr>
          <w:rFonts w:eastAsia="Arial"/>
          <w:color w:val="141414"/>
        </w:rPr>
        <w:t xml:space="preserve">Therefore, </w:t>
      </w:r>
      <w:r w:rsidRPr="005A4C7D">
        <w:rPr>
          <w:rFonts w:eastAsia="Arial"/>
        </w:rPr>
        <w:t>it is the cornerstone of the argument not to delay disbursement, as the development outcomes will critically suffer from the volatility of Indonesia</w:t>
      </w:r>
      <w:r w:rsidR="00C10AC1">
        <w:rPr>
          <w:rFonts w:eastAsia="Arial"/>
          <w:lang w:val="en-US"/>
        </w:rPr>
        <w:t>’s</w:t>
      </w:r>
      <w:r w:rsidRPr="005A4C7D">
        <w:rPr>
          <w:rFonts w:eastAsia="Arial"/>
        </w:rPr>
        <w:t xml:space="preserve"> national economic engine</w:t>
      </w:r>
      <w:r w:rsidR="0081742D">
        <w:rPr>
          <w:rFonts w:eastAsia="Arial"/>
        </w:rPr>
        <w:t xml:space="preserve">. </w:t>
      </w:r>
    </w:p>
    <w:p w14:paraId="165D4B52" w14:textId="77777777" w:rsidR="00137F8E" w:rsidRPr="005A4C7D" w:rsidRDefault="00137F8E" w:rsidP="00137F8E">
      <w:pPr>
        <w:pBdr>
          <w:top w:val="nil"/>
          <w:left w:val="nil"/>
          <w:bottom w:val="nil"/>
          <w:right w:val="nil"/>
          <w:between w:val="nil"/>
        </w:pBdr>
        <w:spacing w:after="120"/>
        <w:rPr>
          <w:rFonts w:eastAsia="Arial"/>
        </w:rPr>
      </w:pPr>
    </w:p>
    <w:p w14:paraId="141F5272" w14:textId="5518DEA0" w:rsidR="00137F8E" w:rsidRPr="005A4C7D" w:rsidRDefault="00137F8E" w:rsidP="00137F8E">
      <w:pPr>
        <w:pBdr>
          <w:top w:val="nil"/>
          <w:left w:val="nil"/>
          <w:bottom w:val="nil"/>
          <w:right w:val="nil"/>
          <w:between w:val="nil"/>
        </w:pBdr>
        <w:spacing w:line="360" w:lineRule="auto"/>
        <w:jc w:val="both"/>
        <w:rPr>
          <w:rFonts w:eastAsia="Arial"/>
        </w:rPr>
      </w:pPr>
      <w:r w:rsidRPr="005A4C7D">
        <w:rPr>
          <w:rFonts w:eastAsia="Arial"/>
          <w:lang w:val="en-US"/>
        </w:rPr>
        <w:t>U</w:t>
      </w:r>
      <w:r w:rsidRPr="005A4C7D">
        <w:rPr>
          <w:rFonts w:eastAsia="Arial"/>
        </w:rPr>
        <w:t xml:space="preserve">sing the econometrics </w:t>
      </w:r>
      <w:r w:rsidR="009B0554">
        <w:rPr>
          <w:rFonts w:eastAsia="Arial"/>
        </w:rPr>
        <w:t>approach,</w:t>
      </w:r>
      <w:r w:rsidRPr="005A4C7D">
        <w:rPr>
          <w:rFonts w:eastAsia="Arial"/>
        </w:rPr>
        <w:t xml:space="preserve"> Bulíř and Hamann (2006);</w:t>
      </w:r>
      <w:r w:rsidRPr="005A4C7D">
        <w:rPr>
          <w:rFonts w:eastAsia="Arial"/>
          <w:sz w:val="20"/>
        </w:rPr>
        <w:t xml:space="preserve"> </w:t>
      </w:r>
      <w:r w:rsidRPr="005A4C7D">
        <w:rPr>
          <w:rFonts w:eastAsia="Arial"/>
        </w:rPr>
        <w:t>Rajan and Subramanian (2008); Doucouliagos and Paldam (2008); Quibria (2014); Dreher and Lohmann (2015) and many others</w:t>
      </w:r>
      <w:r w:rsidRPr="005A4C7D">
        <w:rPr>
          <w:rFonts w:eastAsia="Arial"/>
          <w:lang w:val="en-US"/>
        </w:rPr>
        <w:t xml:space="preserve"> have observed similar results</w:t>
      </w:r>
      <w:r w:rsidR="0081742D">
        <w:rPr>
          <w:rFonts w:eastAsia="Arial"/>
        </w:rPr>
        <w:t xml:space="preserve">. </w:t>
      </w:r>
      <w:r w:rsidRPr="005A4C7D">
        <w:rPr>
          <w:rFonts w:eastAsia="Arial"/>
        </w:rPr>
        <w:t xml:space="preserve">Collectively, our results confirm the findings that aid </w:t>
      </w:r>
      <w:r w:rsidR="00A4655D" w:rsidRPr="005A4C7D">
        <w:rPr>
          <w:rFonts w:eastAsia="Arial"/>
        </w:rPr>
        <w:t xml:space="preserve">has </w:t>
      </w:r>
      <w:r w:rsidR="000869CF" w:rsidRPr="005A4C7D">
        <w:rPr>
          <w:rFonts w:eastAsia="Arial"/>
        </w:rPr>
        <w:t>a</w:t>
      </w:r>
      <w:r w:rsidRPr="005A4C7D">
        <w:rPr>
          <w:rFonts w:eastAsia="Arial"/>
        </w:rPr>
        <w:t xml:space="preserve"> temporarily small, positive, statistically insignificant </w:t>
      </w:r>
      <w:r w:rsidR="00A4655D" w:rsidRPr="005A4C7D">
        <w:rPr>
          <w:rFonts w:eastAsia="Arial"/>
        </w:rPr>
        <w:t xml:space="preserve">relevant to </w:t>
      </w:r>
      <w:r w:rsidRPr="005A4C7D">
        <w:rPr>
          <w:rFonts w:eastAsia="Arial"/>
        </w:rPr>
        <w:t>growth and employment creation</w:t>
      </w:r>
      <w:r w:rsidR="0081742D">
        <w:rPr>
          <w:rFonts w:eastAsia="Arial"/>
          <w:lang w:val="en-US"/>
        </w:rPr>
        <w:t xml:space="preserve">. </w:t>
      </w:r>
      <w:r w:rsidR="0022121C">
        <w:rPr>
          <w:rFonts w:eastAsia="Arial"/>
          <w:lang w:val="en-US"/>
        </w:rPr>
        <w:t>A</w:t>
      </w:r>
      <w:r w:rsidRPr="005A4C7D">
        <w:rPr>
          <w:rFonts w:eastAsia="Arial"/>
        </w:rPr>
        <w:t>nd there is no clear and convincing evidence that more aid leads to faster growth and less unemployment. Our paper shows that increasing ADB loans with their disbursement delays, plus interests cause increasing unemployment by a triple from 3.6% at 0.38</w:t>
      </w:r>
      <w:r w:rsidR="0081742D">
        <w:rPr>
          <w:rFonts w:eastAsia="Arial"/>
        </w:rPr>
        <w:t>%-GDP</w:t>
      </w:r>
      <w:r w:rsidRPr="005A4C7D">
        <w:rPr>
          <w:rFonts w:eastAsia="Arial"/>
        </w:rPr>
        <w:t xml:space="preserve"> to 8.9% at 1.2</w:t>
      </w:r>
      <w:r w:rsidR="0081742D">
        <w:rPr>
          <w:rFonts w:eastAsia="Arial"/>
        </w:rPr>
        <w:t>%-GDP</w:t>
      </w:r>
      <w:r w:rsidRPr="005A4C7D">
        <w:rPr>
          <w:rFonts w:eastAsia="Arial"/>
        </w:rPr>
        <w:t xml:space="preserve"> (5-year) or 2.4% at 0.98</w:t>
      </w:r>
      <w:r w:rsidR="0081742D">
        <w:rPr>
          <w:rFonts w:eastAsia="Arial"/>
        </w:rPr>
        <w:t>%-GDP</w:t>
      </w:r>
      <w:r w:rsidRPr="005A4C7D">
        <w:rPr>
          <w:rFonts w:eastAsia="Arial"/>
        </w:rPr>
        <w:t xml:space="preserve"> to 8.4% at 1.2</w:t>
      </w:r>
      <w:r w:rsidR="0081742D">
        <w:rPr>
          <w:rFonts w:eastAsia="Arial"/>
        </w:rPr>
        <w:t>%-GDP</w:t>
      </w:r>
      <w:r w:rsidRPr="005A4C7D">
        <w:rPr>
          <w:rFonts w:eastAsia="Arial"/>
        </w:rPr>
        <w:t xml:space="preserve"> (100% Disbursement) under prevailing banking theories and practices</w:t>
      </w:r>
      <w:r w:rsidR="0081742D">
        <w:rPr>
          <w:rFonts w:eastAsia="Arial"/>
        </w:rPr>
        <w:t xml:space="preserve">. </w:t>
      </w:r>
      <w:r w:rsidRPr="005A4C7D">
        <w:rPr>
          <w:rFonts w:eastAsia="Arial"/>
        </w:rPr>
        <w:t>This is equivalent to a ratio of (3.6/8.9):(0.38/1.2) or 1.3:1 meaning that for every 1</w:t>
      </w:r>
      <w:r w:rsidR="0081742D">
        <w:rPr>
          <w:rFonts w:eastAsia="Arial"/>
        </w:rPr>
        <w:t>%-GDP</w:t>
      </w:r>
      <w:r w:rsidRPr="005A4C7D">
        <w:rPr>
          <w:rFonts w:eastAsia="Arial"/>
        </w:rPr>
        <w:t xml:space="preserve"> increase of ADB loans to Indonesia, it increases unemployment by 1.3%</w:t>
      </w:r>
      <w:r w:rsidR="0081742D">
        <w:rPr>
          <w:rFonts w:eastAsia="Arial"/>
        </w:rPr>
        <w:t xml:space="preserve">. </w:t>
      </w:r>
    </w:p>
    <w:p w14:paraId="10AAA819" w14:textId="77777777" w:rsidR="00137F8E" w:rsidRPr="005A4C7D" w:rsidRDefault="00137F8E" w:rsidP="00F03851">
      <w:pPr>
        <w:pStyle w:val="Heading2"/>
        <w:numPr>
          <w:ilvl w:val="1"/>
          <w:numId w:val="16"/>
        </w:numPr>
        <w:spacing w:line="360" w:lineRule="auto"/>
        <w:ind w:left="709" w:hanging="709"/>
        <w:rPr>
          <w:rFonts w:eastAsia="Arial"/>
          <w:sz w:val="24"/>
          <w:szCs w:val="24"/>
        </w:rPr>
      </w:pPr>
      <w:r w:rsidRPr="005A4C7D">
        <w:rPr>
          <w:rFonts w:eastAsia="Arial"/>
          <w:sz w:val="24"/>
          <w:szCs w:val="24"/>
        </w:rPr>
        <w:t>Stochastic Agent-based Modelling (SABM)</w:t>
      </w:r>
    </w:p>
    <w:p w14:paraId="7DFF81E6" w14:textId="31080A3E" w:rsidR="00137F8E" w:rsidRPr="005A4C7D" w:rsidRDefault="00137F8E" w:rsidP="00137F8E">
      <w:pPr>
        <w:spacing w:line="360" w:lineRule="auto"/>
        <w:jc w:val="both"/>
        <w:rPr>
          <w:rFonts w:eastAsia="Arial"/>
        </w:rPr>
      </w:pPr>
      <w:r w:rsidRPr="005A4C7D">
        <w:rPr>
          <w:rFonts w:eastAsia="Arial"/>
        </w:rPr>
        <w:t xml:space="preserve">Indonesia unemployment is </w:t>
      </w:r>
      <w:r w:rsidR="00E6516C">
        <w:rPr>
          <w:rFonts w:eastAsia="Arial"/>
          <w:lang w:val="en-US"/>
        </w:rPr>
        <w:t xml:space="preserve">first </w:t>
      </w:r>
      <w:r w:rsidRPr="005A4C7D">
        <w:rPr>
          <w:rFonts w:eastAsia="Arial"/>
        </w:rPr>
        <w:t>Granger-cause by ADB loans at time-lag 5</w:t>
      </w:r>
      <w:r w:rsidRPr="005A4C7D">
        <w:rPr>
          <w:rFonts w:eastAsia="Arial"/>
          <w:vertAlign w:val="superscript"/>
        </w:rPr>
        <w:footnoteReference w:id="22"/>
      </w:r>
      <w:r w:rsidRPr="005A4C7D">
        <w:rPr>
          <w:rFonts w:eastAsia="Arial"/>
        </w:rPr>
        <w:t xml:space="preserve"> (TL-5) by ADB loans with 100% disbursement in year-1 after 5 years (Appendix-E)</w:t>
      </w:r>
      <w:r w:rsidR="0081742D">
        <w:rPr>
          <w:rFonts w:eastAsia="Arial"/>
        </w:rPr>
        <w:t xml:space="preserve">. </w:t>
      </w:r>
      <w:r w:rsidRPr="005A4C7D">
        <w:rPr>
          <w:rFonts w:eastAsia="Arial"/>
        </w:rPr>
        <w:t>This signals that the impact of delays are first seen in year-5</w:t>
      </w:r>
      <w:r w:rsidRPr="005A4C7D">
        <w:rPr>
          <w:rFonts w:eastAsia="Arial"/>
          <w:vertAlign w:val="superscript"/>
        </w:rPr>
        <w:footnoteReference w:id="23"/>
      </w:r>
      <w:r w:rsidRPr="005A4C7D">
        <w:rPr>
          <w:rFonts w:eastAsia="Arial"/>
        </w:rPr>
        <w:t xml:space="preserve"> (See Figure-11 and cross-reference with Figure-12 at 75% disbursement) then in year-7 at 70% disbursement. The Spearman correlation test</w:t>
      </w:r>
      <w:r w:rsidRPr="005A4C7D">
        <w:rPr>
          <w:rFonts w:eastAsia="Arial"/>
          <w:vertAlign w:val="superscript"/>
        </w:rPr>
        <w:footnoteReference w:id="24"/>
      </w:r>
      <w:r w:rsidRPr="005A4C7D">
        <w:rPr>
          <w:rFonts w:eastAsia="Arial"/>
        </w:rPr>
        <w:t xml:space="preserve"> (Appendix-F) demonstrates that ADB loans with 100% disbursement in year-1 are significant with a moderate correlation of -0.33 (0.03) with unemployment. On TL-1 to 4 none of them Granger-cause unemployment</w:t>
      </w:r>
      <w:r w:rsidR="0081742D">
        <w:rPr>
          <w:rFonts w:eastAsia="Arial"/>
        </w:rPr>
        <w:t xml:space="preserve">. </w:t>
      </w:r>
    </w:p>
    <w:p w14:paraId="4E2744F2" w14:textId="77777777" w:rsidR="00137F8E" w:rsidRPr="005A4C7D" w:rsidRDefault="00137F8E" w:rsidP="00137F8E">
      <w:pPr>
        <w:spacing w:line="360" w:lineRule="auto"/>
        <w:jc w:val="both"/>
        <w:rPr>
          <w:rFonts w:eastAsia="Arial"/>
        </w:rPr>
      </w:pPr>
    </w:p>
    <w:p w14:paraId="538CE36F" w14:textId="34CF007E" w:rsidR="00137F8E" w:rsidRPr="005A4C7D" w:rsidRDefault="00137F8E" w:rsidP="00137F8E">
      <w:pPr>
        <w:spacing w:line="360" w:lineRule="auto"/>
        <w:jc w:val="both"/>
        <w:rPr>
          <w:rFonts w:eastAsia="Arial"/>
        </w:rPr>
      </w:pPr>
      <w:r w:rsidRPr="005A4C7D">
        <w:rPr>
          <w:rFonts w:eastAsia="Arial"/>
          <w:lang w:val="en-US"/>
        </w:rPr>
        <w:lastRenderedPageBreak/>
        <w:t xml:space="preserve">We </w:t>
      </w:r>
      <w:r w:rsidRPr="005A4C7D">
        <w:rPr>
          <w:rFonts w:eastAsia="Arial"/>
        </w:rPr>
        <w:t xml:space="preserve">interpreted </w:t>
      </w:r>
      <w:r w:rsidRPr="005A4C7D">
        <w:rPr>
          <w:rFonts w:eastAsia="Arial"/>
          <w:lang w:val="en-US"/>
        </w:rPr>
        <w:t>this as</w:t>
      </w:r>
      <w:r w:rsidRPr="005A4C7D">
        <w:rPr>
          <w:rFonts w:eastAsia="Arial"/>
        </w:rPr>
        <w:t xml:space="preserve"> ADB loans increase, they cut down unemployment by one-third (-0.33) but at year-5 there is a significant strong correlation of 0.81</w:t>
      </w:r>
      <w:r w:rsidR="00106913">
        <w:rPr>
          <w:rFonts w:eastAsia="Arial"/>
        </w:rPr>
        <w:t xml:space="preserve"> (</w:t>
      </w:r>
      <w:r w:rsidRPr="005A4C7D">
        <w:rPr>
          <w:rFonts w:eastAsia="Arial"/>
        </w:rPr>
        <w:t xml:space="preserve">0.00) and year-7 with 0.79 (0.00) with the 100% disbursement in year-1, hence they increase unemployment by 80%. With a mean of 4.59 and a standard deviation of 2.00, </w:t>
      </w:r>
      <w:r w:rsidRPr="005A4C7D">
        <w:rPr>
          <w:rFonts w:eastAsia="Arial"/>
          <w:lang w:val="en-US"/>
        </w:rPr>
        <w:t xml:space="preserve">we imitated </w:t>
      </w:r>
      <w:r w:rsidR="00C10AC1">
        <w:rPr>
          <w:rFonts w:eastAsia="Arial"/>
          <w:lang w:val="en-US"/>
        </w:rPr>
        <w:t xml:space="preserve">the </w:t>
      </w:r>
      <w:r w:rsidRPr="005A4C7D">
        <w:rPr>
          <w:rFonts w:eastAsia="Arial"/>
        </w:rPr>
        <w:t>unemployment and ADB disbursement relationship under a numerical approach with Monte-Carlo simulations with disbursement ratios and unemployment as agents</w:t>
      </w:r>
      <w:r w:rsidR="0081742D">
        <w:rPr>
          <w:rFonts w:eastAsia="Arial"/>
          <w:lang w:val="en-US"/>
        </w:rPr>
        <w:t xml:space="preserve">. </w:t>
      </w:r>
      <w:r w:rsidRPr="005A4C7D">
        <w:rPr>
          <w:rFonts w:eastAsia="Arial"/>
          <w:lang w:val="en-US"/>
        </w:rPr>
        <w:t>Figure-12 shows some results.</w:t>
      </w:r>
      <w:r w:rsidRPr="005A4C7D">
        <w:rPr>
          <w:rFonts w:eastAsia="Arial"/>
        </w:rPr>
        <w:t xml:space="preserve"> The standard deviation of </w:t>
      </w:r>
      <w:r w:rsidR="009B0554">
        <w:rPr>
          <w:rFonts w:eastAsia="Arial"/>
        </w:rPr>
        <w:t>2,</w:t>
      </w:r>
      <w:r w:rsidRPr="005A4C7D">
        <w:rPr>
          <w:rFonts w:eastAsia="Arial"/>
        </w:rPr>
        <w:t xml:space="preserve"> which is about 40% of the mean value</w:t>
      </w:r>
      <w:r w:rsidR="0022121C">
        <w:rPr>
          <w:rFonts w:eastAsia="Arial"/>
          <w:lang w:val="en-US"/>
        </w:rPr>
        <w:t>,</w:t>
      </w:r>
      <w:r w:rsidRPr="005A4C7D">
        <w:rPr>
          <w:rFonts w:eastAsia="Arial"/>
        </w:rPr>
        <w:t xml:space="preserve"> signals Indonesia</w:t>
      </w:r>
      <w:r w:rsidR="009B0554">
        <w:rPr>
          <w:rFonts w:eastAsia="Arial"/>
        </w:rPr>
        <w:t>’</w:t>
      </w:r>
      <w:r w:rsidR="00C10AC1">
        <w:rPr>
          <w:rFonts w:eastAsia="Arial"/>
        </w:rPr>
        <w:t>s</w:t>
      </w:r>
      <w:r w:rsidRPr="005A4C7D">
        <w:rPr>
          <w:rFonts w:eastAsia="Arial"/>
        </w:rPr>
        <w:t xml:space="preserve"> volatile economic engine</w:t>
      </w:r>
      <w:r w:rsidR="0081742D">
        <w:rPr>
          <w:rFonts w:eastAsia="Arial"/>
          <w:lang w:val="en-US"/>
        </w:rPr>
        <w:t xml:space="preserve">. </w:t>
      </w:r>
      <w:r w:rsidR="0022121C">
        <w:rPr>
          <w:rFonts w:eastAsia="Arial"/>
          <w:lang w:val="en-US"/>
        </w:rPr>
        <w:t xml:space="preserve">This </w:t>
      </w:r>
      <w:r w:rsidRPr="005A4C7D">
        <w:rPr>
          <w:rFonts w:eastAsia="Arial"/>
          <w:lang w:val="en-US"/>
        </w:rPr>
        <w:t xml:space="preserve">wider fluctuation </w:t>
      </w:r>
      <w:r w:rsidRPr="005A4C7D">
        <w:rPr>
          <w:rFonts w:eastAsia="Arial"/>
        </w:rPr>
        <w:t xml:space="preserve">potentially </w:t>
      </w:r>
      <w:r w:rsidR="009B0554">
        <w:rPr>
          <w:rFonts w:eastAsia="Arial"/>
        </w:rPr>
        <w:t>has</w:t>
      </w:r>
      <w:r w:rsidRPr="005A4C7D">
        <w:rPr>
          <w:rFonts w:eastAsia="Arial"/>
        </w:rPr>
        <w:t xml:space="preserve"> positive and negative impacts because of </w:t>
      </w:r>
      <w:r w:rsidR="00033D4D">
        <w:rPr>
          <w:rFonts w:eastAsia="Arial"/>
        </w:rPr>
        <w:t xml:space="preserve">the </w:t>
      </w:r>
      <w:r w:rsidRPr="005A4C7D">
        <w:rPr>
          <w:rFonts w:eastAsia="Arial"/>
        </w:rPr>
        <w:t>prolonged ADB loan disbursement time frame</w:t>
      </w:r>
      <w:r w:rsidR="0081742D">
        <w:rPr>
          <w:rFonts w:eastAsia="Arial"/>
        </w:rPr>
        <w:t xml:space="preserve">. </w:t>
      </w:r>
      <w:r w:rsidRPr="005A4C7D">
        <w:rPr>
          <w:rFonts w:eastAsia="Arial"/>
        </w:rPr>
        <w:t>From Figure-12,</w:t>
      </w:r>
      <w:r w:rsidRPr="005A4C7D">
        <w:rPr>
          <w:rFonts w:eastAsia="Arial"/>
          <w:lang w:val="en-US"/>
        </w:rPr>
        <w:t xml:space="preserve"> we</w:t>
      </w:r>
      <w:r w:rsidRPr="005A4C7D">
        <w:rPr>
          <w:rFonts w:eastAsia="Arial"/>
        </w:rPr>
        <w:t xml:space="preserve"> observe</w:t>
      </w:r>
      <w:r w:rsidRPr="005A4C7D">
        <w:rPr>
          <w:rFonts w:eastAsia="Arial"/>
          <w:lang w:val="en-US"/>
        </w:rPr>
        <w:t>d</w:t>
      </w:r>
      <w:r w:rsidRPr="005A4C7D">
        <w:rPr>
          <w:rFonts w:eastAsia="Arial"/>
        </w:rPr>
        <w:t xml:space="preserve"> the </w:t>
      </w:r>
      <w:r w:rsidRPr="001B371A">
        <w:rPr>
          <w:rFonts w:eastAsia="Arial"/>
          <w:i/>
          <w:iCs/>
        </w:rPr>
        <w:t>push-pull</w:t>
      </w:r>
      <w:r w:rsidRPr="005A4C7D">
        <w:rPr>
          <w:rFonts w:eastAsia="Arial"/>
        </w:rPr>
        <w:t xml:space="preserve"> effects of ADB loans</w:t>
      </w:r>
      <w:r w:rsidR="00B5685E" w:rsidRPr="005A4C7D">
        <w:rPr>
          <w:rFonts w:eastAsia="Arial"/>
        </w:rPr>
        <w:t>’</w:t>
      </w:r>
      <w:r w:rsidRPr="005A4C7D">
        <w:rPr>
          <w:rFonts w:eastAsia="Arial"/>
        </w:rPr>
        <w:t xml:space="preserve"> impact on unemployment within the 7-years disbursement.</w:t>
      </w:r>
    </w:p>
    <w:p w14:paraId="5EFE0C43" w14:textId="77777777" w:rsidR="00137F8E" w:rsidRPr="005A4C7D" w:rsidRDefault="00137F8E" w:rsidP="00137F8E">
      <w:pPr>
        <w:pBdr>
          <w:top w:val="nil"/>
          <w:left w:val="nil"/>
          <w:bottom w:val="nil"/>
          <w:right w:val="nil"/>
          <w:between w:val="nil"/>
        </w:pBdr>
        <w:jc w:val="both"/>
        <w:rPr>
          <w:rFonts w:eastAsia="Arial"/>
        </w:rPr>
      </w:pPr>
    </w:p>
    <w:p w14:paraId="5329589B" w14:textId="77777777" w:rsidR="00137F8E" w:rsidRPr="005A4C7D" w:rsidRDefault="00137F8E" w:rsidP="00137F8E">
      <w:pPr>
        <w:pBdr>
          <w:top w:val="nil"/>
          <w:left w:val="nil"/>
          <w:bottom w:val="nil"/>
          <w:right w:val="nil"/>
          <w:between w:val="nil"/>
        </w:pBdr>
        <w:rPr>
          <w:rFonts w:eastAsia="Arial"/>
          <w:i/>
        </w:rPr>
      </w:pPr>
    </w:p>
    <w:p w14:paraId="74390C38" w14:textId="3CBE3100" w:rsidR="00137F8E" w:rsidRPr="005A4C7D" w:rsidRDefault="00137F8E" w:rsidP="00137F8E">
      <w:pPr>
        <w:spacing w:line="360" w:lineRule="auto"/>
        <w:jc w:val="both"/>
        <w:rPr>
          <w:rFonts w:eastAsia="Arial"/>
        </w:rPr>
      </w:pPr>
      <w:r w:rsidRPr="005A4C7D">
        <w:rPr>
          <w:rFonts w:eastAsia="Arial"/>
        </w:rPr>
        <w:t>Figure-12 also shows that even without accounting for LF and FRB @17%, owing to ADB standard 5-year implementation alone causes Indonesia to lose jobs creation potentials at around 75% disbursement ratio</w:t>
      </w:r>
      <w:r w:rsidR="0081742D">
        <w:rPr>
          <w:rFonts w:eastAsia="Arial"/>
          <w:lang w:val="en-US"/>
        </w:rPr>
        <w:t xml:space="preserve">. </w:t>
      </w:r>
      <w:r w:rsidR="004E2E0B">
        <w:rPr>
          <w:rFonts w:eastAsia="Arial"/>
          <w:lang w:val="en-US"/>
        </w:rPr>
        <w:t xml:space="preserve">This is </w:t>
      </w:r>
      <w:r w:rsidRPr="005A4C7D">
        <w:rPr>
          <w:rFonts w:eastAsia="Arial"/>
        </w:rPr>
        <w:t>when the loans increase unemployment compared with the 100% disbursement in year-1 that continuously reduces joblessness until 1</w:t>
      </w:r>
      <w:r w:rsidR="0081742D">
        <w:rPr>
          <w:rFonts w:eastAsia="Arial"/>
        </w:rPr>
        <w:t>%-GDP</w:t>
      </w:r>
      <w:r w:rsidRPr="005A4C7D">
        <w:rPr>
          <w:rFonts w:eastAsia="Arial"/>
        </w:rPr>
        <w:t xml:space="preserve"> (see Figure-11).</w:t>
      </w:r>
    </w:p>
    <w:p w14:paraId="4B96BF59" w14:textId="77777777" w:rsidR="00137F8E" w:rsidRPr="005A4C7D" w:rsidRDefault="00137F8E" w:rsidP="00F03851">
      <w:pPr>
        <w:pStyle w:val="Heading2"/>
        <w:numPr>
          <w:ilvl w:val="1"/>
          <w:numId w:val="16"/>
        </w:numPr>
        <w:spacing w:line="360" w:lineRule="auto"/>
        <w:ind w:left="709" w:hanging="709"/>
        <w:rPr>
          <w:rFonts w:eastAsia="Arial"/>
          <w:sz w:val="24"/>
          <w:szCs w:val="24"/>
        </w:rPr>
      </w:pPr>
      <w:r w:rsidRPr="005A4C7D">
        <w:rPr>
          <w:rFonts w:eastAsia="Arial"/>
          <w:sz w:val="24"/>
          <w:szCs w:val="24"/>
        </w:rPr>
        <w:t>Financial impacts</w:t>
      </w:r>
    </w:p>
    <w:p w14:paraId="71378EAC" w14:textId="73143D4D" w:rsidR="00137F8E" w:rsidRPr="005A4C7D" w:rsidRDefault="00137F8E" w:rsidP="00137F8E">
      <w:pPr>
        <w:spacing w:line="360" w:lineRule="auto"/>
        <w:jc w:val="both"/>
        <w:rPr>
          <w:rFonts w:eastAsia="Arial"/>
        </w:rPr>
      </w:pPr>
      <w:r w:rsidRPr="005A4C7D">
        <w:rPr>
          <w:rFonts w:eastAsia="Arial"/>
        </w:rPr>
        <w:t xml:space="preserve">Triangulating the three results, </w:t>
      </w:r>
      <w:r w:rsidRPr="005A4C7D">
        <w:rPr>
          <w:rFonts w:eastAsia="Arial"/>
          <w:i/>
        </w:rPr>
        <w:t>ceteris paribus</w:t>
      </w:r>
      <w:r w:rsidRPr="005A4C7D">
        <w:rPr>
          <w:rFonts w:eastAsia="Arial"/>
        </w:rPr>
        <w:t>, the endogenized costs of average 2-year delays engendered financial losses to Indonesia of a minimum of 1.3–12</w:t>
      </w:r>
      <w:r w:rsidRPr="005A4C7D">
        <w:rPr>
          <w:rFonts w:eastAsia="Arial"/>
          <w:vertAlign w:val="superscript"/>
        </w:rPr>
        <w:footnoteReference w:id="25"/>
      </w:r>
      <w:r w:rsidRPr="005A4C7D">
        <w:rPr>
          <w:rFonts w:eastAsia="Arial"/>
        </w:rPr>
        <w:t xml:space="preserve"> times the loan value for LF and FRB correspondingly</w:t>
      </w:r>
      <w:r w:rsidR="0081742D">
        <w:rPr>
          <w:rFonts w:eastAsia="Arial"/>
        </w:rPr>
        <w:t xml:space="preserve">. </w:t>
      </w:r>
      <w:r w:rsidRPr="005A4C7D">
        <w:rPr>
          <w:rFonts w:eastAsia="Arial"/>
        </w:rPr>
        <w:t xml:space="preserve">The ADB loans (actual) financial impacts of delays per $1 loans, </w:t>
      </w:r>
      <w:r w:rsidRPr="005A4C7D">
        <w:rPr>
          <w:rFonts w:eastAsia="Arial"/>
          <w:lang w:val="en-US"/>
        </w:rPr>
        <w:t>as</w:t>
      </w:r>
      <w:r w:rsidRPr="005A4C7D">
        <w:rPr>
          <w:rFonts w:eastAsia="Arial"/>
        </w:rPr>
        <w:t xml:space="preserve"> compounded interests and fees under LF of 22.17–27.91% are consistent with Jepma (1991), Pallage and Robe (2001), and Kharas (2008). Whilst the FRB of $12 (calculated) correlates with over $10 capital flight (GFI et al., 2015) or half of $24 (Hickel, 2017) per $1 aid</w:t>
      </w:r>
      <w:r w:rsidR="0081742D">
        <w:rPr>
          <w:rFonts w:eastAsia="Arial"/>
        </w:rPr>
        <w:t xml:space="preserve">. </w:t>
      </w:r>
      <w:r w:rsidRPr="005A4C7D">
        <w:rPr>
          <w:rFonts w:eastAsia="Arial"/>
        </w:rPr>
        <w:t xml:space="preserve">We estimate that between 70-80% of the loan amounts </w:t>
      </w:r>
      <w:r w:rsidRPr="005A4C7D">
        <w:rPr>
          <w:rFonts w:eastAsia="Arial"/>
          <w:lang w:val="en-US"/>
        </w:rPr>
        <w:t>being</w:t>
      </w:r>
      <w:r w:rsidRPr="005A4C7D">
        <w:rPr>
          <w:rFonts w:eastAsia="Arial"/>
        </w:rPr>
        <w:t xml:space="preserve"> disbursed into </w:t>
      </w:r>
      <w:r w:rsidR="001B371A">
        <w:rPr>
          <w:rFonts w:eastAsia="Arial"/>
          <w:lang w:val="en-US"/>
        </w:rPr>
        <w:t xml:space="preserve">the economy of </w:t>
      </w:r>
      <w:r w:rsidRPr="005A4C7D">
        <w:rPr>
          <w:rFonts w:eastAsia="Arial"/>
        </w:rPr>
        <w:t>Indonesia</w:t>
      </w:r>
      <w:r w:rsidR="001B371A">
        <w:rPr>
          <w:rFonts w:eastAsia="Arial"/>
          <w:lang w:val="en-US"/>
        </w:rPr>
        <w:t xml:space="preserve">, </w:t>
      </w:r>
      <w:r w:rsidRPr="005A4C7D">
        <w:rPr>
          <w:rFonts w:eastAsia="Arial"/>
        </w:rPr>
        <w:t xml:space="preserve">and </w:t>
      </w:r>
      <w:r w:rsidRPr="005A4C7D">
        <w:rPr>
          <w:rFonts w:eastAsia="Arial"/>
          <w:lang w:val="en-US"/>
        </w:rPr>
        <w:t xml:space="preserve">ADB paid </w:t>
      </w:r>
      <w:r w:rsidRPr="005A4C7D">
        <w:rPr>
          <w:rFonts w:eastAsia="Arial"/>
        </w:rPr>
        <w:t>the rest to the international services providers</w:t>
      </w:r>
      <w:r w:rsidR="0081742D">
        <w:rPr>
          <w:rFonts w:eastAsia="Arial"/>
        </w:rPr>
        <w:t xml:space="preserve">. </w:t>
      </w:r>
      <w:r w:rsidRPr="005A4C7D">
        <w:rPr>
          <w:rFonts w:eastAsia="Arial"/>
        </w:rPr>
        <w:t>Das and Serieux (2015:40) approximate between 25%-40% are not entering the national economy</w:t>
      </w:r>
      <w:r w:rsidR="0081742D">
        <w:rPr>
          <w:rFonts w:eastAsia="Arial"/>
        </w:rPr>
        <w:t xml:space="preserve">. </w:t>
      </w:r>
      <w:r w:rsidRPr="005A4C7D">
        <w:rPr>
          <w:rFonts w:eastAsia="Arial"/>
        </w:rPr>
        <w:t>This means 5.8%-55% (e.g. 70% x 1/1.3</w:t>
      </w:r>
      <w:r w:rsidR="00F6136C" w:rsidRPr="005A4C7D">
        <w:rPr>
          <w:rFonts w:eastAsia="Arial"/>
          <w:lang w:val="en-US"/>
        </w:rPr>
        <w:t xml:space="preserve"> for </w:t>
      </w:r>
      <w:r w:rsidRPr="005A4C7D">
        <w:rPr>
          <w:rFonts w:eastAsia="Arial"/>
        </w:rPr>
        <w:t>LF</w:t>
      </w:r>
      <w:r w:rsidR="00F6136C" w:rsidRPr="005A4C7D">
        <w:rPr>
          <w:rFonts w:eastAsia="Arial"/>
          <w:lang w:val="en-US"/>
        </w:rPr>
        <w:t xml:space="preserve">, </w:t>
      </w:r>
      <w:r w:rsidRPr="005A4C7D">
        <w:rPr>
          <w:rFonts w:eastAsia="Arial"/>
        </w:rPr>
        <w:t xml:space="preserve">or 1/12 </w:t>
      </w:r>
      <w:r w:rsidR="00F6136C" w:rsidRPr="005A4C7D">
        <w:rPr>
          <w:rFonts w:eastAsia="Arial"/>
          <w:lang w:val="en-US"/>
        </w:rPr>
        <w:t xml:space="preserve">for </w:t>
      </w:r>
      <w:r w:rsidRPr="005A4C7D">
        <w:rPr>
          <w:rFonts w:eastAsia="Arial"/>
        </w:rPr>
        <w:t>FRB) of the money created including their compounded gains, or $0.57 (LF)</w:t>
      </w:r>
      <w:r w:rsidRPr="005A4C7D">
        <w:rPr>
          <w:rFonts w:eastAsia="Arial"/>
          <w:lang w:val="en-US"/>
        </w:rPr>
        <w:t>-</w:t>
      </w:r>
      <w:r w:rsidRPr="005A4C7D">
        <w:rPr>
          <w:rFonts w:eastAsia="Arial"/>
        </w:rPr>
        <w:t>$11.5 (FRB</w:t>
      </w:r>
      <w:r w:rsidR="00106913">
        <w:rPr>
          <w:rFonts w:eastAsia="Arial"/>
        </w:rPr>
        <w:t xml:space="preserve">) </w:t>
      </w:r>
      <w:r w:rsidRPr="005A4C7D">
        <w:rPr>
          <w:rFonts w:eastAsia="Arial"/>
        </w:rPr>
        <w:t xml:space="preserve">per $1 loan are capital flight and never entered </w:t>
      </w:r>
      <w:r w:rsidR="00C10AC1">
        <w:rPr>
          <w:rFonts w:eastAsia="Arial"/>
        </w:rPr>
        <w:t xml:space="preserve">the </w:t>
      </w:r>
      <w:r w:rsidRPr="005A4C7D">
        <w:rPr>
          <w:rFonts w:eastAsia="Arial"/>
        </w:rPr>
        <w:t>national economy</w:t>
      </w:r>
      <w:r w:rsidR="0081742D">
        <w:rPr>
          <w:rFonts w:eastAsia="Arial"/>
        </w:rPr>
        <w:t xml:space="preserve">. </w:t>
      </w:r>
    </w:p>
    <w:p w14:paraId="7B69586A" w14:textId="77777777" w:rsidR="00137F8E" w:rsidRPr="005A4C7D" w:rsidRDefault="00137F8E" w:rsidP="00137F8E">
      <w:pPr>
        <w:spacing w:line="360" w:lineRule="auto"/>
        <w:jc w:val="both"/>
        <w:rPr>
          <w:rFonts w:eastAsia="Arial"/>
        </w:rPr>
      </w:pPr>
    </w:p>
    <w:p w14:paraId="1371C522" w14:textId="35B2F497" w:rsidR="00137F8E" w:rsidRPr="005A4C7D" w:rsidRDefault="00137F8E" w:rsidP="00137F8E">
      <w:pPr>
        <w:spacing w:line="360" w:lineRule="auto"/>
        <w:jc w:val="both"/>
        <w:rPr>
          <w:rFonts w:eastAsia="Arial"/>
        </w:rPr>
      </w:pPr>
      <w:r w:rsidRPr="005A4C7D">
        <w:rPr>
          <w:rFonts w:eastAsia="Arial"/>
        </w:rPr>
        <w:lastRenderedPageBreak/>
        <w:t>The problem does not end here as Sogge (2017, citing Ndikumana and Boyce (2011) and van Bergeijk (2010)) find that about 60 percent of the funds disbursed in the national economy, rapidly leaves the recipient country through a revolving door</w:t>
      </w:r>
      <w:r w:rsidR="0081742D">
        <w:rPr>
          <w:rFonts w:eastAsia="Arial"/>
          <w:lang w:val="en-US"/>
        </w:rPr>
        <w:t xml:space="preserve">. </w:t>
      </w:r>
      <w:r w:rsidR="00F16180">
        <w:rPr>
          <w:rFonts w:eastAsia="Arial"/>
          <w:lang w:val="en-US"/>
        </w:rPr>
        <w:t>The total of</w:t>
      </w:r>
      <w:r w:rsidRPr="005A4C7D">
        <w:rPr>
          <w:rFonts w:eastAsia="Arial"/>
        </w:rPr>
        <w:t xml:space="preserve"> which is comparable with capital flights of a minimum </w:t>
      </w:r>
      <w:r w:rsidR="000104C5">
        <w:rPr>
          <w:rFonts w:eastAsia="Arial"/>
        </w:rPr>
        <w:t xml:space="preserve">of </w:t>
      </w:r>
      <w:r w:rsidRPr="005A4C7D">
        <w:rPr>
          <w:rFonts w:eastAsia="Arial"/>
        </w:rPr>
        <w:t xml:space="preserve">50%-300%. </w:t>
      </w:r>
      <w:r w:rsidRPr="005A4C7D">
        <w:rPr>
          <w:rFonts w:eastAsia="Arial"/>
          <w:lang w:val="en-US"/>
        </w:rPr>
        <w:t>It</w:t>
      </w:r>
      <w:r w:rsidRPr="005A4C7D">
        <w:rPr>
          <w:rFonts w:eastAsia="Arial"/>
        </w:rPr>
        <w:t xml:space="preserve"> correlates with our finding for Indonesia with 50%-1200% volatility measured against 100% disbursement in year-1</w:t>
      </w:r>
      <w:r w:rsidR="0081742D">
        <w:rPr>
          <w:rFonts w:eastAsia="Arial"/>
        </w:rPr>
        <w:t xml:space="preserve">. </w:t>
      </w:r>
      <w:r w:rsidRPr="005A4C7D">
        <w:rPr>
          <w:rFonts w:eastAsia="Arial"/>
        </w:rPr>
        <w:t>This means that Indonesia suffers from a capital flight of 4.98</w:t>
      </w:r>
      <w:r w:rsidR="0081742D">
        <w:rPr>
          <w:rFonts w:eastAsia="Arial"/>
        </w:rPr>
        <w:t>%-GDP</w:t>
      </w:r>
      <w:r w:rsidRPr="005A4C7D">
        <w:rPr>
          <w:rFonts w:eastAsia="Arial"/>
        </w:rPr>
        <w:t>, which although smaller than 7.6</w:t>
      </w:r>
      <w:r w:rsidR="0081742D">
        <w:rPr>
          <w:rFonts w:eastAsia="Arial"/>
        </w:rPr>
        <w:t>%-GDP</w:t>
      </w:r>
      <w:r w:rsidRPr="005A4C7D">
        <w:rPr>
          <w:rFonts w:eastAsia="Arial"/>
        </w:rPr>
        <w:t xml:space="preserve"> (Griffiths, 2014), is almost double the expected return of 700% (or 2.91</w:t>
      </w:r>
      <w:r w:rsidR="0081742D">
        <w:rPr>
          <w:rFonts w:eastAsia="Arial"/>
        </w:rPr>
        <w:t>%-GDP</w:t>
      </w:r>
      <w:r w:rsidRPr="005A4C7D">
        <w:rPr>
          <w:rFonts w:eastAsia="Arial"/>
        </w:rPr>
        <w:t>) per $1 by developed member countries in their investment in ADB (</w:t>
      </w:r>
      <w:r w:rsidR="00D43229" w:rsidRPr="005A4C7D">
        <w:rPr>
          <w:rFonts w:eastAsia="Arial"/>
        </w:rPr>
        <w:t>U.S.</w:t>
      </w:r>
      <w:r w:rsidRPr="005A4C7D">
        <w:rPr>
          <w:rFonts w:eastAsia="Arial"/>
        </w:rPr>
        <w:t xml:space="preserve"> Congress, 1968a:280). </w:t>
      </w:r>
      <w:r w:rsidRPr="005A4C7D">
        <w:rPr>
          <w:rFonts w:eastAsia="Arial"/>
          <w:lang w:val="en-US"/>
        </w:rPr>
        <w:t>It</w:t>
      </w:r>
      <w:r w:rsidRPr="005A4C7D">
        <w:rPr>
          <w:rFonts w:eastAsia="Arial"/>
        </w:rPr>
        <w:t xml:space="preserve"> shows that ADB loan volatility through disbursement delays is not incidental. Acemoglu et al. (2001) attribute this as economic retardations in less developed countries (former colonies) because of the creation of extractive institutions. Hence, for Indonesia, the Dutch Curse is well at work.</w:t>
      </w:r>
    </w:p>
    <w:p w14:paraId="0EA46F1D" w14:textId="77777777" w:rsidR="00137F8E" w:rsidRPr="005A4C7D" w:rsidRDefault="00137F8E" w:rsidP="00137F8E">
      <w:pPr>
        <w:spacing w:line="360" w:lineRule="auto"/>
        <w:jc w:val="both"/>
        <w:rPr>
          <w:rFonts w:eastAsia="Arial"/>
        </w:rPr>
      </w:pPr>
    </w:p>
    <w:p w14:paraId="55476322" w14:textId="77777777" w:rsidR="00137F8E" w:rsidRPr="005A4C7D" w:rsidRDefault="00137F8E" w:rsidP="00137F8E">
      <w:pPr>
        <w:spacing w:before="120" w:after="120" w:line="360" w:lineRule="auto"/>
        <w:rPr>
          <w:rFonts w:eastAsia="Arial"/>
          <w:b/>
          <w:sz w:val="28"/>
          <w:szCs w:val="28"/>
        </w:rPr>
      </w:pPr>
      <w:r w:rsidRPr="005A4C7D">
        <w:rPr>
          <w:rFonts w:eastAsia="Arial"/>
          <w:b/>
          <w:sz w:val="28"/>
          <w:szCs w:val="28"/>
        </w:rPr>
        <w:t>CONCLUSION</w:t>
      </w:r>
    </w:p>
    <w:p w14:paraId="2EB2E0A6" w14:textId="77777777" w:rsidR="00137F8E" w:rsidRPr="005A4C7D" w:rsidRDefault="00137F8E" w:rsidP="00137F8E">
      <w:pPr>
        <w:keepNext/>
        <w:numPr>
          <w:ilvl w:val="0"/>
          <w:numId w:val="18"/>
        </w:numPr>
        <w:pBdr>
          <w:top w:val="nil"/>
          <w:left w:val="nil"/>
          <w:bottom w:val="nil"/>
          <w:right w:val="nil"/>
          <w:between w:val="nil"/>
        </w:pBdr>
        <w:spacing w:before="240" w:after="240" w:line="360" w:lineRule="auto"/>
        <w:ind w:left="425" w:hanging="425"/>
        <w:jc w:val="both"/>
        <w:rPr>
          <w:rFonts w:eastAsia="Arial"/>
        </w:rPr>
      </w:pPr>
      <w:r w:rsidRPr="005A4C7D">
        <w:rPr>
          <w:rFonts w:eastAsia="Arial"/>
          <w:b/>
        </w:rPr>
        <w:t>Recommendations</w:t>
      </w:r>
    </w:p>
    <w:p w14:paraId="1F611D38" w14:textId="7B01EE84" w:rsidR="00137F8E" w:rsidRPr="005A4C7D" w:rsidRDefault="002F3438" w:rsidP="00137F8E">
      <w:pPr>
        <w:spacing w:line="360" w:lineRule="auto"/>
        <w:jc w:val="both"/>
        <w:rPr>
          <w:rFonts w:eastAsia="Arial"/>
        </w:rPr>
      </w:pPr>
      <w:r>
        <w:rPr>
          <w:rFonts w:eastAsia="Arial"/>
          <w:lang w:val="en-US"/>
        </w:rPr>
        <w:t>G</w:t>
      </w:r>
      <w:r w:rsidRPr="005A4C7D">
        <w:rPr>
          <w:rFonts w:eastAsia="Arial"/>
        </w:rPr>
        <w:t>iven the availability of sufficient collateral</w:t>
      </w:r>
      <w:r>
        <w:rPr>
          <w:rFonts w:eastAsia="Arial"/>
          <w:lang w:val="en-US"/>
        </w:rPr>
        <w:t>, t</w:t>
      </w:r>
      <w:r w:rsidR="00137F8E" w:rsidRPr="005A4C7D">
        <w:rPr>
          <w:rFonts w:eastAsia="Arial"/>
          <w:lang w:val="en-US"/>
        </w:rPr>
        <w:t>he GOI critically requires n</w:t>
      </w:r>
      <w:r w:rsidR="00137F8E" w:rsidRPr="005A4C7D">
        <w:rPr>
          <w:rFonts w:eastAsia="Arial"/>
        </w:rPr>
        <w:t>ational law and political decisions to have any ADB loan funds 100% disbursed into banking systems</w:t>
      </w:r>
      <w:r w:rsidR="001B371A">
        <w:rPr>
          <w:rFonts w:eastAsia="Arial"/>
          <w:lang w:val="en-US"/>
        </w:rPr>
        <w:t xml:space="preserve"> in Indonesia </w:t>
      </w:r>
      <w:r w:rsidR="00137F8E" w:rsidRPr="005A4C7D">
        <w:rPr>
          <w:rFonts w:eastAsia="Arial"/>
          <w:lang w:val="en-US"/>
        </w:rPr>
        <w:t>and Rupiah</w:t>
      </w:r>
      <w:r w:rsidR="00137F8E" w:rsidRPr="005A4C7D">
        <w:rPr>
          <w:rFonts w:eastAsia="Arial"/>
        </w:rPr>
        <w:t xml:space="preserve"> in year-1</w:t>
      </w:r>
      <w:r w:rsidR="0081742D">
        <w:rPr>
          <w:rFonts w:eastAsia="Arial"/>
          <w:lang w:val="en-US"/>
        </w:rPr>
        <w:t xml:space="preserve">. </w:t>
      </w:r>
      <w:r>
        <w:rPr>
          <w:rFonts w:eastAsia="Arial"/>
          <w:lang w:val="en-US"/>
        </w:rPr>
        <w:t>O</w:t>
      </w:r>
      <w:r w:rsidR="00137F8E" w:rsidRPr="005A4C7D">
        <w:rPr>
          <w:rFonts w:eastAsia="Arial"/>
        </w:rPr>
        <w:t>r no ADB loans at all. In mitigating moral hazard</w:t>
      </w:r>
      <w:r w:rsidR="00137F8E" w:rsidRPr="005A4C7D">
        <w:rPr>
          <w:rFonts w:eastAsia="Arial"/>
          <w:vertAlign w:val="superscript"/>
        </w:rPr>
        <w:footnoteReference w:id="26"/>
      </w:r>
      <w:r w:rsidR="00137F8E" w:rsidRPr="005A4C7D">
        <w:rPr>
          <w:rFonts w:eastAsia="Arial"/>
        </w:rPr>
        <w:t xml:space="preserve"> (Coase, 1960), reforming the governance of ADB</w:t>
      </w:r>
      <w:r w:rsidR="001B371A">
        <w:rPr>
          <w:rFonts w:eastAsia="Arial"/>
          <w:lang w:val="en-US"/>
        </w:rPr>
        <w:t xml:space="preserve"> loan</w:t>
      </w:r>
      <w:r w:rsidR="00137F8E" w:rsidRPr="005A4C7D">
        <w:rPr>
          <w:rFonts w:eastAsia="Arial"/>
        </w:rPr>
        <w:t xml:space="preserve"> disbursement. It requires more studies with different attributors, endogenized capitals, and LA conditionalities.</w:t>
      </w:r>
    </w:p>
    <w:p w14:paraId="6BAAA9CF" w14:textId="77777777" w:rsidR="00137F8E" w:rsidRPr="005A4C7D" w:rsidRDefault="00137F8E" w:rsidP="00137F8E">
      <w:pPr>
        <w:keepNext/>
        <w:numPr>
          <w:ilvl w:val="0"/>
          <w:numId w:val="18"/>
        </w:numPr>
        <w:pBdr>
          <w:top w:val="nil"/>
          <w:left w:val="nil"/>
          <w:bottom w:val="nil"/>
          <w:right w:val="nil"/>
          <w:between w:val="nil"/>
        </w:pBdr>
        <w:spacing w:before="240" w:after="240" w:line="360" w:lineRule="auto"/>
        <w:ind w:left="425" w:hanging="425"/>
        <w:jc w:val="both"/>
        <w:rPr>
          <w:rFonts w:eastAsia="Arial"/>
        </w:rPr>
      </w:pPr>
      <w:r w:rsidRPr="005A4C7D">
        <w:rPr>
          <w:rFonts w:eastAsia="Arial"/>
          <w:b/>
        </w:rPr>
        <w:t>Conclusion</w:t>
      </w:r>
    </w:p>
    <w:p w14:paraId="0D415A72" w14:textId="0416D9CE" w:rsidR="00137F8E" w:rsidRPr="005A4C7D" w:rsidRDefault="00137F8E" w:rsidP="00137F8E">
      <w:pPr>
        <w:spacing w:line="360" w:lineRule="auto"/>
        <w:jc w:val="both"/>
        <w:rPr>
          <w:rFonts w:eastAsia="Arial"/>
        </w:rPr>
      </w:pPr>
      <w:r w:rsidRPr="005A4C7D">
        <w:rPr>
          <w:rFonts w:eastAsia="Arial"/>
        </w:rPr>
        <w:t xml:space="preserve">For Indonesia as a country colonized by the Dutch for 300 years, the </w:t>
      </w:r>
      <w:r w:rsidRPr="001B371A">
        <w:rPr>
          <w:rFonts w:eastAsia="Arial"/>
          <w:i/>
          <w:iCs/>
        </w:rPr>
        <w:t>Dutch Curse</w:t>
      </w:r>
      <w:r w:rsidRPr="005A4C7D">
        <w:rPr>
          <w:rFonts w:eastAsia="Arial"/>
        </w:rPr>
        <w:t>, as opposed to Dutch disease, is befitting well to describe capital outflow, instead of inflow</w:t>
      </w:r>
      <w:r w:rsidR="0081742D">
        <w:rPr>
          <w:rFonts w:eastAsia="Arial"/>
          <w:lang w:val="en-US"/>
        </w:rPr>
        <w:t xml:space="preserve">. </w:t>
      </w:r>
      <w:r w:rsidR="003D27A5">
        <w:rPr>
          <w:rFonts w:eastAsia="Arial"/>
          <w:lang w:val="en-US"/>
        </w:rPr>
        <w:t>A</w:t>
      </w:r>
      <w:r w:rsidRPr="005A4C7D">
        <w:rPr>
          <w:rFonts w:eastAsia="Arial"/>
        </w:rPr>
        <w:t xml:space="preserve">nd their negative impacts on growth and unemployment because of </w:t>
      </w:r>
      <w:r w:rsidR="00FB5F74" w:rsidRPr="000925F5">
        <w:rPr>
          <w:rFonts w:eastAsia="Arial"/>
        </w:rPr>
        <w:t xml:space="preserve">ADB </w:t>
      </w:r>
      <w:r w:rsidRPr="005A4C7D">
        <w:rPr>
          <w:rFonts w:eastAsia="Arial"/>
        </w:rPr>
        <w:t>disbursement delays</w:t>
      </w:r>
      <w:r w:rsidR="0081742D">
        <w:rPr>
          <w:rFonts w:eastAsia="Arial"/>
        </w:rPr>
        <w:t xml:space="preserve">. </w:t>
      </w:r>
      <w:r w:rsidRPr="005A4C7D">
        <w:rPr>
          <w:rFonts w:eastAsia="Arial"/>
        </w:rPr>
        <w:t xml:space="preserve">Fixing this Dutch Curse is simple but requires a fundamental shift </w:t>
      </w:r>
      <w:r w:rsidR="000869CF" w:rsidRPr="000925F5">
        <w:rPr>
          <w:rFonts w:eastAsia="Arial"/>
        </w:rPr>
        <w:t xml:space="preserve">and an </w:t>
      </w:r>
      <w:r w:rsidR="00FB5F74" w:rsidRPr="000925F5">
        <w:rPr>
          <w:rFonts w:eastAsia="Arial"/>
        </w:rPr>
        <w:t xml:space="preserve">honest </w:t>
      </w:r>
      <w:r w:rsidRPr="005A4C7D">
        <w:rPr>
          <w:rFonts w:eastAsia="Arial"/>
        </w:rPr>
        <w:t>intention beyond the political narrative of reducing delays and genuine efforts to promote growth and reduce unemployment.</w:t>
      </w:r>
    </w:p>
    <w:p w14:paraId="1F377ECA" w14:textId="77777777" w:rsidR="00137F8E" w:rsidRPr="005A4C7D" w:rsidRDefault="00137F8E" w:rsidP="00137F8E">
      <w:pPr>
        <w:jc w:val="both"/>
        <w:rPr>
          <w:rFonts w:eastAsia="Arial"/>
        </w:rPr>
      </w:pPr>
    </w:p>
    <w:p w14:paraId="2F07C7C7" w14:textId="3D18F95B" w:rsidR="00137F8E" w:rsidRPr="005A4C7D" w:rsidRDefault="00B5685E" w:rsidP="00137F8E">
      <w:pPr>
        <w:ind w:left="851" w:right="828" w:hanging="130"/>
        <w:jc w:val="center"/>
        <w:rPr>
          <w:rFonts w:eastAsia="Arial"/>
        </w:rPr>
      </w:pPr>
      <w:r w:rsidRPr="005A4C7D">
        <w:rPr>
          <w:rFonts w:eastAsia="Arial"/>
          <w:i/>
        </w:rPr>
        <w:t>“</w:t>
      </w:r>
      <w:r w:rsidR="00137F8E" w:rsidRPr="005A4C7D">
        <w:rPr>
          <w:rFonts w:eastAsia="Arial"/>
          <w:i/>
        </w:rPr>
        <w:t>Debt is a cleverly managed re-conquest of Africa. It is a reconquest that turns each one of us into a financial slave.</w:t>
      </w:r>
      <w:r w:rsidRPr="005A4C7D">
        <w:rPr>
          <w:rFonts w:eastAsia="Arial"/>
          <w:i/>
        </w:rPr>
        <w:t>”</w:t>
      </w:r>
      <w:r w:rsidR="00137F8E" w:rsidRPr="005A4C7D">
        <w:rPr>
          <w:rFonts w:eastAsia="Arial"/>
          <w:i/>
        </w:rPr>
        <w:t xml:space="preserve"> </w:t>
      </w:r>
      <w:r w:rsidR="00137F8E" w:rsidRPr="005A4C7D">
        <w:rPr>
          <w:rFonts w:eastAsia="Arial"/>
          <w:lang w:val="en-US"/>
        </w:rPr>
        <w:t>~</w:t>
      </w:r>
      <w:r w:rsidR="00137F8E" w:rsidRPr="005A4C7D">
        <w:rPr>
          <w:rFonts w:eastAsia="Arial"/>
        </w:rPr>
        <w:t xml:space="preserve"> Thomas Sankara (1987).</w:t>
      </w:r>
    </w:p>
    <w:p w14:paraId="5887E034" w14:textId="77777777" w:rsidR="00137F8E" w:rsidRPr="005A4C7D" w:rsidRDefault="00137F8E" w:rsidP="00137F8E">
      <w:pPr>
        <w:keepNext/>
        <w:pBdr>
          <w:top w:val="nil"/>
          <w:left w:val="nil"/>
          <w:bottom w:val="nil"/>
          <w:right w:val="nil"/>
          <w:between w:val="nil"/>
        </w:pBdr>
        <w:spacing w:before="240" w:after="120" w:line="360" w:lineRule="auto"/>
        <w:jc w:val="both"/>
        <w:rPr>
          <w:rFonts w:eastAsia="Arial"/>
          <w:b/>
          <w:smallCaps/>
        </w:rPr>
      </w:pPr>
      <w:r w:rsidRPr="005A4C7D">
        <w:rPr>
          <w:rFonts w:eastAsia="Arial"/>
          <w:b/>
        </w:rPr>
        <w:lastRenderedPageBreak/>
        <w:t>Acknowledgment</w:t>
      </w:r>
    </w:p>
    <w:p w14:paraId="6FB10C98" w14:textId="6E2B494F" w:rsidR="00137F8E" w:rsidRPr="005A4C7D" w:rsidRDefault="00F6136C" w:rsidP="00137F8E">
      <w:pPr>
        <w:spacing w:line="360" w:lineRule="auto"/>
        <w:jc w:val="both"/>
        <w:rPr>
          <w:rFonts w:eastAsia="Arial"/>
        </w:rPr>
      </w:pPr>
      <w:r w:rsidRPr="005A4C7D">
        <w:rPr>
          <w:rFonts w:eastAsia="Arial"/>
          <w:lang w:val="en-US"/>
        </w:rPr>
        <w:t>Author, M</w:t>
      </w:r>
      <w:r w:rsidR="0066780D">
        <w:rPr>
          <w:rFonts w:eastAsia="Arial"/>
          <w:lang w:val="en-US"/>
        </w:rPr>
        <w:t>.</w:t>
      </w:r>
      <w:r w:rsidRPr="005A4C7D">
        <w:rPr>
          <w:rFonts w:eastAsia="Arial"/>
          <w:lang w:val="en-US"/>
        </w:rPr>
        <w:t>A</w:t>
      </w:r>
      <w:r w:rsidR="0066780D">
        <w:rPr>
          <w:rFonts w:eastAsia="Arial"/>
          <w:lang w:val="en-US"/>
        </w:rPr>
        <w:t>.</w:t>
      </w:r>
      <w:r w:rsidRPr="005A4C7D">
        <w:rPr>
          <w:rFonts w:eastAsia="Arial"/>
          <w:lang w:val="en-US"/>
        </w:rPr>
        <w:t xml:space="preserve"> </w:t>
      </w:r>
      <w:proofErr w:type="spellStart"/>
      <w:r w:rsidRPr="005A4C7D">
        <w:rPr>
          <w:rFonts w:eastAsia="Arial"/>
          <w:lang w:val="en-US"/>
        </w:rPr>
        <w:t>Ingratubun</w:t>
      </w:r>
      <w:proofErr w:type="spellEnd"/>
      <w:r w:rsidRPr="005A4C7D">
        <w:rPr>
          <w:rFonts w:eastAsia="Arial"/>
          <w:lang w:val="en-US"/>
        </w:rPr>
        <w:t xml:space="preserve"> </w:t>
      </w:r>
      <w:r w:rsidR="00137F8E" w:rsidRPr="005A4C7D">
        <w:rPr>
          <w:rFonts w:eastAsia="Arial"/>
          <w:lang w:val="en-US"/>
        </w:rPr>
        <w:t>expresses his a</w:t>
      </w:r>
      <w:r w:rsidR="00137F8E" w:rsidRPr="005A4C7D">
        <w:rPr>
          <w:rFonts w:eastAsia="Arial"/>
        </w:rPr>
        <w:t>ppreciation and gratitude to the IPB University</w:t>
      </w:r>
      <w:r w:rsidR="001B371A">
        <w:rPr>
          <w:rFonts w:eastAsia="Arial"/>
          <w:lang w:val="en-US"/>
        </w:rPr>
        <w:t>,</w:t>
      </w:r>
      <w:r w:rsidR="00137F8E" w:rsidRPr="005A4C7D">
        <w:rPr>
          <w:rFonts w:eastAsia="Arial"/>
        </w:rPr>
        <w:t xml:space="preserve"> Regional and Rural Development Planning (PWD) Department</w:t>
      </w:r>
      <w:r w:rsidR="0081742D">
        <w:rPr>
          <w:rFonts w:eastAsia="Arial"/>
          <w:lang w:val="en-US"/>
        </w:rPr>
        <w:t xml:space="preserve">. </w:t>
      </w:r>
      <w:r w:rsidR="004008EE">
        <w:rPr>
          <w:rFonts w:eastAsia="Arial"/>
          <w:lang w:val="en-US"/>
        </w:rPr>
        <w:t>F</w:t>
      </w:r>
      <w:r w:rsidR="00137F8E" w:rsidRPr="005A4C7D">
        <w:rPr>
          <w:rFonts w:eastAsia="Arial"/>
        </w:rPr>
        <w:t>or opening a deeper understanding of the true scope of wealth leakages and their critical role in regional development and poverty eradication.</w:t>
      </w:r>
    </w:p>
    <w:p w14:paraId="763D1E06" w14:textId="77777777" w:rsidR="00137F8E" w:rsidRPr="005A4C7D" w:rsidRDefault="00137F8E" w:rsidP="00137F8E">
      <w:pPr>
        <w:jc w:val="both"/>
        <w:rPr>
          <w:rFonts w:eastAsia="Arial"/>
        </w:rPr>
      </w:pPr>
    </w:p>
    <w:p w14:paraId="21B5C14B" w14:textId="77777777" w:rsidR="00137F8E" w:rsidRPr="005A4C7D" w:rsidRDefault="00137F8E" w:rsidP="00137F8E">
      <w:pPr>
        <w:spacing w:before="120" w:after="120" w:line="360" w:lineRule="auto"/>
        <w:rPr>
          <w:rFonts w:eastAsia="Arial"/>
          <w:b/>
          <w:sz w:val="28"/>
          <w:szCs w:val="28"/>
        </w:rPr>
      </w:pPr>
      <w:r w:rsidRPr="005A4C7D">
        <w:rPr>
          <w:rFonts w:eastAsia="Arial"/>
          <w:b/>
          <w:sz w:val="28"/>
          <w:szCs w:val="28"/>
        </w:rPr>
        <w:t>LIMITATION</w:t>
      </w:r>
    </w:p>
    <w:p w14:paraId="54C5307D" w14:textId="0B1A69DD" w:rsidR="00137F8E" w:rsidRPr="005A4C7D" w:rsidRDefault="00137F8E" w:rsidP="00137F8E">
      <w:pPr>
        <w:rPr>
          <w:rFonts w:eastAsia="Arial"/>
        </w:rPr>
      </w:pPr>
      <w:r w:rsidRPr="005A4C7D">
        <w:rPr>
          <w:rFonts w:eastAsia="Arial"/>
        </w:rPr>
        <w:t>The data used is until 2017</w:t>
      </w:r>
      <w:r w:rsidR="0081742D">
        <w:rPr>
          <w:rFonts w:eastAsia="Arial"/>
        </w:rPr>
        <w:t xml:space="preserve">. </w:t>
      </w:r>
      <w:r w:rsidRPr="005A4C7D">
        <w:rPr>
          <w:rFonts w:eastAsia="Arial"/>
        </w:rPr>
        <w:t>As more data becomes available, we will update this study.</w:t>
      </w:r>
    </w:p>
    <w:p w14:paraId="2BE207E0" w14:textId="77777777" w:rsidR="00137F8E" w:rsidRPr="005A4C7D" w:rsidRDefault="00137F8E" w:rsidP="00137F8E"/>
    <w:p w14:paraId="668B664C" w14:textId="77777777" w:rsidR="00137F8E" w:rsidRPr="005A4C7D" w:rsidRDefault="00137F8E" w:rsidP="00137F8E">
      <w:pPr>
        <w:jc w:val="both"/>
        <w:rPr>
          <w:rFonts w:eastAsia="Arial"/>
        </w:rPr>
      </w:pPr>
    </w:p>
    <w:p w14:paraId="0CE04CF3" w14:textId="77777777" w:rsidR="00137F8E" w:rsidRPr="005A4C7D" w:rsidRDefault="00137F8E" w:rsidP="00137F8E">
      <w:pPr>
        <w:keepNext/>
        <w:pBdr>
          <w:top w:val="nil"/>
          <w:left w:val="nil"/>
          <w:bottom w:val="nil"/>
          <w:right w:val="nil"/>
          <w:between w:val="nil"/>
        </w:pBdr>
        <w:spacing w:before="240" w:after="240"/>
        <w:jc w:val="both"/>
        <w:rPr>
          <w:rFonts w:eastAsia="Arial"/>
          <w:b/>
          <w:sz w:val="28"/>
          <w:szCs w:val="28"/>
        </w:rPr>
      </w:pPr>
      <w:r w:rsidRPr="005A4C7D">
        <w:rPr>
          <w:rFonts w:eastAsia="Arial"/>
          <w:b/>
          <w:sz w:val="28"/>
          <w:szCs w:val="28"/>
        </w:rPr>
        <w:t xml:space="preserve">References </w:t>
      </w:r>
    </w:p>
    <w:p w14:paraId="13F4C9DE" w14:textId="565E4547" w:rsidR="00137F8E" w:rsidRPr="005A4C7D" w:rsidRDefault="00137F8E" w:rsidP="00137F8E">
      <w:pPr>
        <w:ind w:left="567" w:hanging="567"/>
        <w:jc w:val="both"/>
        <w:rPr>
          <w:rFonts w:eastAsia="Arial"/>
          <w:sz w:val="20"/>
        </w:rPr>
      </w:pPr>
      <w:r w:rsidRPr="005A4C7D">
        <w:rPr>
          <w:rFonts w:eastAsia="Arial"/>
          <w:sz w:val="20"/>
        </w:rPr>
        <w:t>Acemoglu D., S. Johnson, and J. Robinson, J., 2001. The Colonial Origins of Development: An Empirical Investigation</w:t>
      </w:r>
      <w:r w:rsidR="0081742D">
        <w:rPr>
          <w:rFonts w:eastAsia="Arial"/>
          <w:sz w:val="20"/>
        </w:rPr>
        <w:t xml:space="preserve">. </w:t>
      </w:r>
      <w:r w:rsidRPr="005A4C7D">
        <w:rPr>
          <w:rFonts w:eastAsia="Arial"/>
          <w:i/>
          <w:sz w:val="20"/>
        </w:rPr>
        <w:t>American Economic Review,</w:t>
      </w:r>
      <w:r w:rsidRPr="005A4C7D">
        <w:rPr>
          <w:rFonts w:eastAsia="Arial"/>
          <w:sz w:val="20"/>
        </w:rPr>
        <w:t xml:space="preserve"> 91(5), (Dec. 2001), pp. 1369-1401.</w:t>
      </w:r>
    </w:p>
    <w:p w14:paraId="30F0F6FB" w14:textId="77777777" w:rsidR="00137F8E" w:rsidRPr="005A4C7D" w:rsidRDefault="00137F8E" w:rsidP="00137F8E">
      <w:pPr>
        <w:ind w:left="567" w:hanging="567"/>
        <w:jc w:val="both"/>
        <w:rPr>
          <w:rFonts w:eastAsia="Arial"/>
          <w:sz w:val="20"/>
        </w:rPr>
      </w:pPr>
      <w:r w:rsidRPr="005A4C7D">
        <w:rPr>
          <w:rFonts w:eastAsia="Arial"/>
          <w:sz w:val="20"/>
        </w:rPr>
        <w:t xml:space="preserve">ADB. 2011. </w:t>
      </w:r>
      <w:r w:rsidRPr="005A4C7D">
        <w:rPr>
          <w:rFonts w:eastAsia="Arial"/>
          <w:i/>
          <w:sz w:val="20"/>
        </w:rPr>
        <w:t>Uzbekistan Country Assistance Program Evaluation.</w:t>
      </w:r>
      <w:r w:rsidRPr="005A4C7D">
        <w:rPr>
          <w:rFonts w:eastAsia="Arial"/>
          <w:sz w:val="20"/>
        </w:rPr>
        <w:t xml:space="preserve"> Evaluation Study, July 2011. Manila, Philippines: Asian Development Bank. Accessed 17 December 2020. https://www.oecd.org/derec/adb/48700042.pdf</w:t>
      </w:r>
    </w:p>
    <w:p w14:paraId="273FD0E7" w14:textId="54EE3A7A" w:rsidR="00137F8E" w:rsidRPr="005A4C7D" w:rsidRDefault="00137F8E" w:rsidP="00137F8E">
      <w:pPr>
        <w:ind w:left="567" w:hanging="567"/>
        <w:jc w:val="both"/>
        <w:rPr>
          <w:rFonts w:eastAsia="Arial"/>
          <w:sz w:val="20"/>
        </w:rPr>
      </w:pPr>
      <w:r w:rsidRPr="005A4C7D">
        <w:rPr>
          <w:rFonts w:eastAsia="Arial"/>
          <w:sz w:val="20"/>
        </w:rPr>
        <w:t xml:space="preserve">ADB. 2018. </w:t>
      </w:r>
      <w:r w:rsidRPr="005A4C7D">
        <w:rPr>
          <w:rFonts w:eastAsia="Arial"/>
          <w:i/>
          <w:sz w:val="20"/>
        </w:rPr>
        <w:t>The 2018 Annual Evaluation Review</w:t>
      </w:r>
      <w:r w:rsidR="0081742D">
        <w:rPr>
          <w:rFonts w:eastAsia="Arial"/>
          <w:i/>
          <w:sz w:val="20"/>
        </w:rPr>
        <w:t xml:space="preserve">. </w:t>
      </w:r>
      <w:r w:rsidRPr="005A4C7D">
        <w:rPr>
          <w:rFonts w:eastAsia="Arial"/>
          <w:sz w:val="20"/>
        </w:rPr>
        <w:t xml:space="preserve">Manila, The Philippines: Asian Development Bank. Accessed 17 December 2020. https://www.adb.org/sites/default/files/evaluation-document/388366/files/2018-aer.pdf </w:t>
      </w:r>
    </w:p>
    <w:p w14:paraId="563DFFF7" w14:textId="77777777" w:rsidR="00137F8E" w:rsidRPr="005A4C7D" w:rsidRDefault="00137F8E" w:rsidP="00137F8E">
      <w:pPr>
        <w:ind w:left="567" w:hanging="567"/>
        <w:jc w:val="both"/>
        <w:rPr>
          <w:rFonts w:eastAsia="Arial"/>
          <w:sz w:val="20"/>
        </w:rPr>
      </w:pPr>
      <w:r w:rsidRPr="005A4C7D">
        <w:rPr>
          <w:rFonts w:eastAsia="Arial"/>
          <w:sz w:val="20"/>
        </w:rPr>
        <w:t xml:space="preserve">ADB. 2019. 2018 </w:t>
      </w:r>
      <w:r w:rsidRPr="005A4C7D">
        <w:rPr>
          <w:rFonts w:eastAsia="Arial"/>
          <w:i/>
          <w:sz w:val="20"/>
        </w:rPr>
        <w:t>Annual Portfolio Performance Report (APPR)</w:t>
      </w:r>
      <w:r w:rsidRPr="005A4C7D">
        <w:rPr>
          <w:rFonts w:eastAsia="Arial"/>
          <w:sz w:val="20"/>
        </w:rPr>
        <w:t>. Asian Development Bank. Accessed 17 December 2020. https://www.adb.org/sites/default/files/institutional-document/500841/appr-2018.pdf.</w:t>
      </w:r>
    </w:p>
    <w:p w14:paraId="23917C9A" w14:textId="194BB80B" w:rsidR="00137F8E" w:rsidRPr="005A4C7D" w:rsidRDefault="00137F8E" w:rsidP="00137F8E">
      <w:pPr>
        <w:ind w:left="567" w:hanging="567"/>
        <w:jc w:val="both"/>
        <w:rPr>
          <w:rFonts w:eastAsia="Arial"/>
          <w:sz w:val="20"/>
        </w:rPr>
      </w:pPr>
      <w:r w:rsidRPr="005A4C7D">
        <w:rPr>
          <w:rFonts w:eastAsia="Arial"/>
          <w:sz w:val="20"/>
        </w:rPr>
        <w:t xml:space="preserve">ADB. 2019. </w:t>
      </w:r>
      <w:r w:rsidRPr="005A4C7D">
        <w:rPr>
          <w:rFonts w:eastAsia="Arial"/>
          <w:i/>
          <w:sz w:val="20"/>
        </w:rPr>
        <w:t>Indonesia Fact Sheet</w:t>
      </w:r>
      <w:r w:rsidRPr="005A4C7D">
        <w:rPr>
          <w:rFonts w:eastAsia="Arial"/>
          <w:sz w:val="20"/>
        </w:rPr>
        <w:t>. Asian Development Bank. Accessed 17 December 2020. https://www.adb.org/sites/default/files/publication/27769/ino-2019.pdf.</w:t>
      </w:r>
    </w:p>
    <w:p w14:paraId="1F65D991" w14:textId="77777777" w:rsidR="00137F8E" w:rsidRPr="005A4C7D" w:rsidRDefault="00137F8E" w:rsidP="00137F8E">
      <w:pPr>
        <w:ind w:left="567" w:hanging="567"/>
        <w:jc w:val="both"/>
        <w:rPr>
          <w:rFonts w:eastAsia="Arial"/>
          <w:sz w:val="20"/>
        </w:rPr>
      </w:pPr>
      <w:r w:rsidRPr="005A4C7D">
        <w:rPr>
          <w:rFonts w:eastAsia="Arial"/>
          <w:sz w:val="20"/>
        </w:rPr>
        <w:t xml:space="preserve">ADB. 2020. </w:t>
      </w:r>
      <w:r w:rsidRPr="005A4C7D">
        <w:rPr>
          <w:rFonts w:eastAsia="Arial"/>
          <w:i/>
          <w:sz w:val="20"/>
        </w:rPr>
        <w:t>2019 Information Statement</w:t>
      </w:r>
      <w:r w:rsidRPr="005A4C7D">
        <w:rPr>
          <w:rFonts w:eastAsia="Arial"/>
          <w:sz w:val="20"/>
        </w:rPr>
        <w:t>. Asian Development Bank. Accessed 17 December 2020. https://www.adb.org/sites/default/files/institutional-document/417506/information-statement-2020.pdf</w:t>
      </w:r>
    </w:p>
    <w:p w14:paraId="21585D4E" w14:textId="77777777" w:rsidR="00137F8E" w:rsidRPr="005A4C7D" w:rsidRDefault="00137F8E" w:rsidP="00137F8E">
      <w:pPr>
        <w:ind w:left="567" w:hanging="567"/>
        <w:jc w:val="both"/>
        <w:rPr>
          <w:rFonts w:eastAsia="Arial"/>
          <w:sz w:val="20"/>
        </w:rPr>
      </w:pPr>
      <w:r w:rsidRPr="005A4C7D">
        <w:rPr>
          <w:rFonts w:eastAsia="Arial"/>
          <w:sz w:val="20"/>
        </w:rPr>
        <w:t xml:space="preserve">Aldashev, G., and V. Vincenzo. 2012. </w:t>
      </w:r>
      <w:r w:rsidRPr="005A4C7D">
        <w:rPr>
          <w:rFonts w:eastAsia="Arial"/>
          <w:i/>
          <w:sz w:val="20"/>
        </w:rPr>
        <w:t>Is Aid Volatility Harmful?</w:t>
      </w:r>
      <w:r w:rsidRPr="005A4C7D">
        <w:rPr>
          <w:rFonts w:eastAsia="Arial"/>
          <w:sz w:val="20"/>
        </w:rPr>
        <w:t xml:space="preserve"> The University of Namur. https://www.tcd.ie/Economics/assets/pdf/AID_VOLATILITY_Draft_Jan8_2012_FULL.pdf</w:t>
      </w:r>
    </w:p>
    <w:p w14:paraId="560033B4" w14:textId="1BBBD20D" w:rsidR="00137F8E" w:rsidRPr="005A4C7D" w:rsidRDefault="00137F8E" w:rsidP="00137F8E">
      <w:pPr>
        <w:ind w:left="567" w:hanging="567"/>
        <w:jc w:val="both"/>
        <w:rPr>
          <w:rFonts w:eastAsia="Arial"/>
          <w:sz w:val="20"/>
        </w:rPr>
      </w:pPr>
      <w:r w:rsidRPr="005A4C7D">
        <w:rPr>
          <w:rFonts w:eastAsia="Arial"/>
          <w:sz w:val="20"/>
        </w:rPr>
        <w:t xml:space="preserve">Andrews, M., and V. Wilhelm. 2008. </w:t>
      </w:r>
      <w:r w:rsidRPr="005A4C7D">
        <w:rPr>
          <w:rFonts w:eastAsia="Arial"/>
          <w:i/>
          <w:sz w:val="20"/>
        </w:rPr>
        <w:t>Thinking about Aid Predictability</w:t>
      </w:r>
      <w:r w:rsidRPr="005A4C7D">
        <w:rPr>
          <w:rFonts w:eastAsia="Arial"/>
          <w:sz w:val="20"/>
        </w:rPr>
        <w:t xml:space="preserve">. NUMBER 124, PREM Notes Poverty: The World </w:t>
      </w:r>
      <w:r w:rsidR="00F6136C" w:rsidRPr="005A4C7D">
        <w:rPr>
          <w:rFonts w:eastAsia="Arial"/>
          <w:sz w:val="20"/>
        </w:rPr>
        <w:t>Bank.</w:t>
      </w:r>
    </w:p>
    <w:p w14:paraId="60CC6D56" w14:textId="77777777" w:rsidR="00137F8E" w:rsidRPr="005A4C7D" w:rsidRDefault="00137F8E" w:rsidP="00137F8E">
      <w:pPr>
        <w:ind w:left="567" w:hanging="567"/>
        <w:jc w:val="both"/>
        <w:rPr>
          <w:rFonts w:eastAsia="Arial"/>
          <w:sz w:val="20"/>
        </w:rPr>
      </w:pPr>
      <w:r w:rsidRPr="005A4C7D">
        <w:rPr>
          <w:rFonts w:eastAsia="Arial"/>
          <w:sz w:val="20"/>
        </w:rPr>
        <w:t>Australian National University (ANU). 2017. Aid study shows every $1 spent returns $7.10 in exports. 16 October 2017. Accessed 17 December 2020. https://www.anu.edu.au/news/all-news/aid-study-shows-every-1-spent-returns-710-in-exports</w:t>
      </w:r>
    </w:p>
    <w:p w14:paraId="1D8B5A21" w14:textId="77777777" w:rsidR="00137F8E" w:rsidRPr="005A4C7D" w:rsidRDefault="00137F8E" w:rsidP="00137F8E">
      <w:pPr>
        <w:ind w:left="567" w:hanging="567"/>
        <w:jc w:val="both"/>
        <w:rPr>
          <w:rFonts w:eastAsia="Arial"/>
          <w:sz w:val="20"/>
        </w:rPr>
      </w:pPr>
      <w:r w:rsidRPr="005A4C7D">
        <w:rPr>
          <w:rFonts w:eastAsia="Arial"/>
          <w:sz w:val="20"/>
        </w:rPr>
        <w:t xml:space="preserve">Bezemer, D., and M.J. Hudson. 2016. Finance is not the Economy: Reviving the Conceptual Distinction. </w:t>
      </w:r>
      <w:r w:rsidRPr="005A4C7D">
        <w:rPr>
          <w:rFonts w:eastAsia="Arial"/>
          <w:i/>
          <w:sz w:val="20"/>
        </w:rPr>
        <w:t>Journal of Economic Issues</w:t>
      </w:r>
      <w:r w:rsidRPr="005A4C7D">
        <w:rPr>
          <w:rFonts w:eastAsia="Arial"/>
          <w:sz w:val="20"/>
        </w:rPr>
        <w:t>. 50, 3, p. 745-768.</w:t>
      </w:r>
    </w:p>
    <w:p w14:paraId="060D6E52" w14:textId="6C400410" w:rsidR="00137F8E" w:rsidRPr="005A4C7D" w:rsidRDefault="00137F8E" w:rsidP="00137F8E">
      <w:pPr>
        <w:ind w:left="567" w:hanging="567"/>
        <w:jc w:val="both"/>
        <w:rPr>
          <w:rFonts w:eastAsia="Arial"/>
          <w:sz w:val="20"/>
        </w:rPr>
      </w:pPr>
      <w:r w:rsidRPr="005A4C7D">
        <w:rPr>
          <w:rFonts w:eastAsia="Arial"/>
          <w:sz w:val="20"/>
        </w:rPr>
        <w:t>Block, W</w:t>
      </w:r>
      <w:r w:rsidR="0081742D">
        <w:rPr>
          <w:rFonts w:eastAsia="Arial"/>
          <w:sz w:val="20"/>
        </w:rPr>
        <w:t xml:space="preserve">. </w:t>
      </w:r>
      <w:r w:rsidRPr="005A4C7D">
        <w:rPr>
          <w:rFonts w:eastAsia="Arial"/>
          <w:sz w:val="20"/>
        </w:rPr>
        <w:t xml:space="preserve">1988. </w:t>
      </w:r>
      <w:r w:rsidRPr="005A4C7D">
        <w:rPr>
          <w:rFonts w:eastAsia="Arial"/>
          <w:i/>
          <w:sz w:val="20"/>
        </w:rPr>
        <w:t>How the Market Creates Jobs and How the Government Destroys Them</w:t>
      </w:r>
      <w:r w:rsidRPr="005A4C7D">
        <w:rPr>
          <w:rFonts w:eastAsia="Arial"/>
          <w:sz w:val="20"/>
        </w:rPr>
        <w:t xml:space="preserve"> (Full Edition). Accessed 17 December 2020. https://cdn.mises.org/fm588_0.pdf </w:t>
      </w:r>
    </w:p>
    <w:p w14:paraId="4C4DFA75" w14:textId="77777777" w:rsidR="00137F8E" w:rsidRPr="005A4C7D" w:rsidRDefault="00137F8E" w:rsidP="00137F8E">
      <w:pPr>
        <w:ind w:left="567" w:hanging="567"/>
        <w:jc w:val="both"/>
        <w:rPr>
          <w:rFonts w:eastAsia="Arial"/>
          <w:sz w:val="20"/>
        </w:rPr>
      </w:pPr>
      <w:r w:rsidRPr="005A4C7D">
        <w:rPr>
          <w:rFonts w:eastAsia="Arial"/>
          <w:sz w:val="20"/>
        </w:rPr>
        <w:t xml:space="preserve">Bourguignon, F., and M. Sundberg. 2007. Aid Effectiveness: Opening the Black Box. </w:t>
      </w:r>
      <w:r w:rsidRPr="005A4C7D">
        <w:rPr>
          <w:rFonts w:eastAsia="Arial"/>
          <w:i/>
          <w:sz w:val="20"/>
        </w:rPr>
        <w:t>American Economic Review</w:t>
      </w:r>
      <w:r w:rsidRPr="005A4C7D">
        <w:rPr>
          <w:rFonts w:eastAsia="Arial"/>
          <w:sz w:val="20"/>
        </w:rPr>
        <w:t xml:space="preserve"> 97(2): 316–321.</w:t>
      </w:r>
    </w:p>
    <w:p w14:paraId="668E3CF5" w14:textId="71F5CBC1" w:rsidR="00137F8E" w:rsidRPr="005A4C7D" w:rsidRDefault="00137F8E" w:rsidP="00137F8E">
      <w:pPr>
        <w:ind w:left="567" w:hanging="567"/>
        <w:jc w:val="both"/>
        <w:rPr>
          <w:rFonts w:eastAsia="Arial"/>
          <w:sz w:val="20"/>
        </w:rPr>
      </w:pPr>
      <w:r w:rsidRPr="005A4C7D">
        <w:rPr>
          <w:rFonts w:eastAsia="Arial"/>
          <w:sz w:val="20"/>
        </w:rPr>
        <w:t>Bulíř, A., and J.A. Hamann. 2006</w:t>
      </w:r>
      <w:r w:rsidR="0081742D">
        <w:rPr>
          <w:rFonts w:eastAsia="Arial"/>
          <w:sz w:val="20"/>
        </w:rPr>
        <w:t xml:space="preserve">. </w:t>
      </w:r>
      <w:r w:rsidRPr="005A4C7D">
        <w:rPr>
          <w:rFonts w:eastAsia="Arial"/>
          <w:i/>
          <w:sz w:val="20"/>
        </w:rPr>
        <w:t>Volatility of Development Aid: From the Frying Pan into the Fire?</w:t>
      </w:r>
      <w:r w:rsidRPr="005A4C7D">
        <w:rPr>
          <w:rFonts w:eastAsia="Arial"/>
          <w:sz w:val="20"/>
        </w:rPr>
        <w:t xml:space="preserve"> International Monetary Fund. IMF Working Paper, WP/06/</w:t>
      </w:r>
      <w:r w:rsidR="00F6136C" w:rsidRPr="005A4C7D">
        <w:rPr>
          <w:rFonts w:eastAsia="Arial"/>
          <w:sz w:val="20"/>
        </w:rPr>
        <w:t>65.</w:t>
      </w:r>
    </w:p>
    <w:p w14:paraId="79C576C4" w14:textId="77777777" w:rsidR="00137F8E" w:rsidRPr="005A4C7D" w:rsidRDefault="00137F8E" w:rsidP="00137F8E">
      <w:pPr>
        <w:ind w:left="567" w:hanging="567"/>
        <w:jc w:val="both"/>
        <w:rPr>
          <w:rFonts w:eastAsia="Arial"/>
          <w:sz w:val="20"/>
        </w:rPr>
      </w:pPr>
      <w:r w:rsidRPr="005A4C7D">
        <w:rPr>
          <w:rFonts w:eastAsia="Arial"/>
          <w:sz w:val="20"/>
        </w:rPr>
        <w:t xml:space="preserve">Bulíř, A., and T. Lane. 2004. </w:t>
      </w:r>
      <w:r w:rsidRPr="005A4C7D">
        <w:rPr>
          <w:rFonts w:eastAsia="Arial"/>
          <w:i/>
          <w:sz w:val="20"/>
        </w:rPr>
        <w:t>“Aid and Fiscal Management,” in Helping Countries Develop: The Role of Fiscal Policy</w:t>
      </w:r>
      <w:r w:rsidRPr="005A4C7D">
        <w:rPr>
          <w:rFonts w:eastAsia="Arial"/>
          <w:sz w:val="20"/>
        </w:rPr>
        <w:t xml:space="preserve">, ed. by Gupta, S., Clements, B. and Inchauste, G. (Washington: International Monetary Fund). </w:t>
      </w:r>
    </w:p>
    <w:p w14:paraId="276A2F65" w14:textId="77777777" w:rsidR="00137F8E" w:rsidRPr="005A4C7D" w:rsidRDefault="00137F8E" w:rsidP="00137F8E">
      <w:pPr>
        <w:ind w:left="567" w:hanging="567"/>
        <w:jc w:val="both"/>
        <w:rPr>
          <w:rFonts w:eastAsia="Arial"/>
          <w:sz w:val="20"/>
        </w:rPr>
      </w:pPr>
      <w:r w:rsidRPr="005A4C7D">
        <w:rPr>
          <w:rFonts w:eastAsia="Arial"/>
          <w:sz w:val="20"/>
        </w:rPr>
        <w:t xml:space="preserve">Carpenter, S. B., and S. Demiralp. 2010. </w:t>
      </w:r>
      <w:r w:rsidRPr="005A4C7D">
        <w:rPr>
          <w:rFonts w:eastAsia="Arial"/>
          <w:i/>
          <w:sz w:val="20"/>
        </w:rPr>
        <w:t>Money, Reserves, and the Transmission of Monetary Policy: Does the Money Multiplier Exist?</w:t>
      </w:r>
      <w:r w:rsidRPr="005A4C7D">
        <w:rPr>
          <w:rFonts w:eastAsia="Arial"/>
          <w:sz w:val="20"/>
        </w:rPr>
        <w:t xml:space="preserve"> Federal Reserve Board, Washington, D.C., U.S. Finance and Economics Discussion Series 2010-41.</w:t>
      </w:r>
    </w:p>
    <w:p w14:paraId="2FA908A3" w14:textId="17511E85" w:rsidR="00137F8E" w:rsidRPr="005A4C7D" w:rsidRDefault="00137F8E" w:rsidP="00137F8E">
      <w:pPr>
        <w:ind w:left="567" w:hanging="567"/>
        <w:jc w:val="both"/>
        <w:rPr>
          <w:rFonts w:eastAsia="Arial"/>
          <w:sz w:val="20"/>
        </w:rPr>
      </w:pPr>
      <w:r w:rsidRPr="005A4C7D">
        <w:rPr>
          <w:rFonts w:eastAsia="Arial"/>
          <w:sz w:val="20"/>
        </w:rPr>
        <w:t>Celasun, O., and J. Walliser. 2008</w:t>
      </w:r>
      <w:r w:rsidR="0081742D">
        <w:rPr>
          <w:rFonts w:eastAsia="Arial"/>
          <w:sz w:val="20"/>
        </w:rPr>
        <w:t xml:space="preserve">. </w:t>
      </w:r>
      <w:r w:rsidRPr="005A4C7D">
        <w:rPr>
          <w:rFonts w:eastAsia="Arial"/>
          <w:sz w:val="20"/>
        </w:rPr>
        <w:t xml:space="preserve">Predictability of Aid: Do Fickle Donors Undermine Aid Effectiveness? </w:t>
      </w:r>
      <w:r w:rsidRPr="005A4C7D">
        <w:rPr>
          <w:rFonts w:eastAsia="Arial"/>
          <w:i/>
          <w:sz w:val="20"/>
        </w:rPr>
        <w:t>Economic Policy</w:t>
      </w:r>
      <w:r w:rsidRPr="005A4C7D">
        <w:rPr>
          <w:rFonts w:eastAsia="Arial"/>
          <w:sz w:val="20"/>
        </w:rPr>
        <w:t>, 23(July), pp. 545–94.</w:t>
      </w:r>
    </w:p>
    <w:p w14:paraId="02BD31FB" w14:textId="77777777" w:rsidR="00137F8E" w:rsidRPr="005A4C7D" w:rsidRDefault="00137F8E" w:rsidP="00137F8E">
      <w:pPr>
        <w:ind w:left="567" w:hanging="567"/>
        <w:jc w:val="both"/>
        <w:rPr>
          <w:rFonts w:eastAsia="Arial"/>
          <w:sz w:val="20"/>
        </w:rPr>
      </w:pPr>
      <w:r w:rsidRPr="005A4C7D">
        <w:rPr>
          <w:rFonts w:eastAsia="Arial"/>
          <w:sz w:val="20"/>
        </w:rPr>
        <w:t xml:space="preserve">Coase, R. 1960. The Problem of Social Cost. </w:t>
      </w:r>
      <w:r w:rsidRPr="005A4C7D">
        <w:rPr>
          <w:rFonts w:eastAsia="Arial"/>
          <w:i/>
          <w:sz w:val="20"/>
        </w:rPr>
        <w:t>Journal of Law and Economics,</w:t>
      </w:r>
      <w:r w:rsidRPr="005A4C7D">
        <w:rPr>
          <w:rFonts w:eastAsia="Arial"/>
          <w:sz w:val="20"/>
        </w:rPr>
        <w:t xml:space="preserve"> 3(1), pp. 1–44.</w:t>
      </w:r>
    </w:p>
    <w:p w14:paraId="2F3318B7" w14:textId="77777777" w:rsidR="00137F8E" w:rsidRPr="005A4C7D" w:rsidRDefault="00137F8E" w:rsidP="00137F8E">
      <w:pPr>
        <w:shd w:val="clear" w:color="auto" w:fill="FFFFFF"/>
        <w:jc w:val="both"/>
        <w:rPr>
          <w:rFonts w:eastAsia="Arial"/>
          <w:sz w:val="20"/>
        </w:rPr>
      </w:pPr>
      <w:r w:rsidRPr="005A4C7D">
        <w:rPr>
          <w:rFonts w:eastAsia="Arial"/>
          <w:sz w:val="20"/>
        </w:rPr>
        <w:t xml:space="preserve">Das, A., and J. Serieux. 2015, ‘Aid and reverse flows: a global analysis’, in the M. Arvin &amp; B. Lew (eds) </w:t>
      </w:r>
      <w:r w:rsidRPr="005A4C7D">
        <w:rPr>
          <w:rFonts w:eastAsia="Arial"/>
          <w:i/>
          <w:sz w:val="20"/>
        </w:rPr>
        <w:t>Handbook on the Economics of Foreign Aid</w:t>
      </w:r>
      <w:r w:rsidRPr="005A4C7D">
        <w:rPr>
          <w:rFonts w:eastAsia="Arial"/>
          <w:sz w:val="20"/>
        </w:rPr>
        <w:t>, Cheltenham: Edward Elgar Publishing.</w:t>
      </w:r>
    </w:p>
    <w:p w14:paraId="5647F69A" w14:textId="38B8C73C" w:rsidR="00137F8E" w:rsidRPr="005A4C7D" w:rsidRDefault="00137F8E" w:rsidP="00137F8E">
      <w:pPr>
        <w:ind w:left="567" w:hanging="567"/>
        <w:jc w:val="both"/>
        <w:rPr>
          <w:rFonts w:eastAsia="Arial"/>
          <w:sz w:val="20"/>
          <w:lang w:val="en-US"/>
        </w:rPr>
      </w:pPr>
      <w:r w:rsidRPr="005A4C7D">
        <w:rPr>
          <w:rFonts w:eastAsia="Arial"/>
          <w:sz w:val="20"/>
        </w:rPr>
        <w:lastRenderedPageBreak/>
        <w:t xml:space="preserve">Desai, R. M., and H.J. Kharas. 2010. </w:t>
      </w:r>
      <w:r w:rsidRPr="005A4C7D">
        <w:rPr>
          <w:rFonts w:eastAsia="Arial"/>
          <w:i/>
          <w:sz w:val="20"/>
        </w:rPr>
        <w:t>The Determinants of Aid Volatility</w:t>
      </w:r>
      <w:r w:rsidRPr="005A4C7D">
        <w:rPr>
          <w:rFonts w:eastAsia="Arial"/>
          <w:sz w:val="20"/>
        </w:rPr>
        <w:t>. Working Paper 42, September 2010. Global Economy &amp; Development</w:t>
      </w:r>
      <w:r w:rsidR="00F6136C" w:rsidRPr="005A4C7D">
        <w:rPr>
          <w:rFonts w:eastAsia="Arial"/>
          <w:sz w:val="20"/>
          <w:lang w:val="en-US"/>
        </w:rPr>
        <w:t>.</w:t>
      </w:r>
    </w:p>
    <w:p w14:paraId="21CC65C9" w14:textId="662915B8" w:rsidR="00137F8E" w:rsidRPr="005A4C7D" w:rsidRDefault="00137F8E" w:rsidP="00137F8E">
      <w:pPr>
        <w:ind w:left="567" w:hanging="567"/>
        <w:jc w:val="both"/>
        <w:rPr>
          <w:rFonts w:eastAsia="Arial"/>
          <w:sz w:val="20"/>
        </w:rPr>
      </w:pPr>
      <w:r w:rsidRPr="005A4C7D">
        <w:rPr>
          <w:rFonts w:eastAsia="Arial"/>
          <w:sz w:val="20"/>
        </w:rPr>
        <w:t>Diarra, G.. 2011. Aid unpredictability and absorptive capacity: analyzing disbursement delays in Africa</w:t>
      </w:r>
      <w:r w:rsidR="0081742D">
        <w:rPr>
          <w:rFonts w:eastAsia="Arial"/>
          <w:sz w:val="20"/>
        </w:rPr>
        <w:t xml:space="preserve">. </w:t>
      </w:r>
      <w:r w:rsidRPr="005A4C7D">
        <w:rPr>
          <w:rFonts w:eastAsia="Arial"/>
          <w:i/>
          <w:sz w:val="20"/>
        </w:rPr>
        <w:t>Economics Bulletin</w:t>
      </w:r>
      <w:r w:rsidRPr="005A4C7D">
        <w:rPr>
          <w:rFonts w:eastAsia="Arial"/>
          <w:sz w:val="20"/>
        </w:rPr>
        <w:t>, 31(1). pp. 1004-1017.</w:t>
      </w:r>
    </w:p>
    <w:p w14:paraId="3969A2D1" w14:textId="77777777" w:rsidR="00137F8E" w:rsidRPr="005A4C7D" w:rsidRDefault="00137F8E" w:rsidP="00137F8E">
      <w:pPr>
        <w:ind w:left="567" w:hanging="567"/>
        <w:jc w:val="both"/>
        <w:rPr>
          <w:rFonts w:eastAsia="Arial"/>
          <w:sz w:val="20"/>
        </w:rPr>
      </w:pPr>
      <w:r w:rsidRPr="005A4C7D">
        <w:rPr>
          <w:rFonts w:eastAsia="Arial"/>
          <w:sz w:val="20"/>
        </w:rPr>
        <w:t xml:space="preserve">Doucouliagos, H., and M. Paldam. 2008. Aid effectiveness on growth: A meta-study, </w:t>
      </w:r>
      <w:r w:rsidRPr="005A4C7D">
        <w:rPr>
          <w:rFonts w:eastAsia="Arial"/>
          <w:i/>
          <w:sz w:val="20"/>
        </w:rPr>
        <w:t>European Journal of Political Economy</w:t>
      </w:r>
      <w:r w:rsidRPr="005A4C7D">
        <w:rPr>
          <w:rFonts w:eastAsia="Arial"/>
          <w:sz w:val="20"/>
        </w:rPr>
        <w:t>, 24(1): 1–24.</w:t>
      </w:r>
    </w:p>
    <w:p w14:paraId="2497FAC1" w14:textId="482F4169" w:rsidR="00137F8E" w:rsidRPr="005A4C7D" w:rsidRDefault="00137F8E" w:rsidP="00137F8E">
      <w:pPr>
        <w:ind w:left="567" w:hanging="567"/>
        <w:jc w:val="both"/>
        <w:rPr>
          <w:rFonts w:eastAsia="Arial"/>
          <w:sz w:val="20"/>
        </w:rPr>
      </w:pPr>
      <w:r w:rsidRPr="005A4C7D">
        <w:rPr>
          <w:rFonts w:eastAsia="Arial"/>
          <w:sz w:val="20"/>
        </w:rPr>
        <w:t>Doucouliagos, H., and M. Paldam. 2015. Finally a breakthrough? The recent rise in the size of the estimates of aid effectiveness</w:t>
      </w:r>
      <w:r w:rsidR="00C10AC1">
        <w:rPr>
          <w:rFonts w:eastAsia="Arial"/>
          <w:sz w:val="20"/>
          <w:lang w:val="en-US"/>
        </w:rPr>
        <w:t>.</w:t>
      </w:r>
      <w:r w:rsidRPr="005A4C7D">
        <w:rPr>
          <w:rFonts w:eastAsia="Arial"/>
          <w:sz w:val="20"/>
        </w:rPr>
        <w:t xml:space="preserve"> </w:t>
      </w:r>
      <w:r w:rsidR="00C10AC1">
        <w:rPr>
          <w:rFonts w:eastAsia="Arial"/>
          <w:sz w:val="20"/>
          <w:lang w:val="en-US"/>
        </w:rPr>
        <w:t>I</w:t>
      </w:r>
      <w:r w:rsidRPr="005A4C7D">
        <w:rPr>
          <w:rFonts w:eastAsia="Arial"/>
          <w:sz w:val="20"/>
        </w:rPr>
        <w:t xml:space="preserve">n the M. Arvin &amp; B. Lew (eds) </w:t>
      </w:r>
      <w:r w:rsidRPr="005A4C7D">
        <w:rPr>
          <w:rFonts w:eastAsia="Arial"/>
          <w:i/>
          <w:sz w:val="20"/>
        </w:rPr>
        <w:t>Handbook on the Economics of Foreign Aid</w:t>
      </w:r>
      <w:r w:rsidRPr="005A4C7D">
        <w:rPr>
          <w:rFonts w:eastAsia="Arial"/>
          <w:sz w:val="20"/>
        </w:rPr>
        <w:t>, Cheltenham: Edward Elgar Publishing.</w:t>
      </w:r>
    </w:p>
    <w:p w14:paraId="757B74E2" w14:textId="77777777" w:rsidR="00137F8E" w:rsidRPr="005A4C7D" w:rsidRDefault="00137F8E" w:rsidP="00137F8E">
      <w:pPr>
        <w:ind w:left="567" w:hanging="567"/>
        <w:jc w:val="both"/>
        <w:rPr>
          <w:rFonts w:eastAsia="Arial"/>
          <w:sz w:val="20"/>
        </w:rPr>
      </w:pPr>
      <w:r w:rsidRPr="005A4C7D">
        <w:rPr>
          <w:rFonts w:eastAsia="Arial"/>
          <w:sz w:val="20"/>
        </w:rPr>
        <w:t xml:space="preserve">Dreher, A., and S. Lohmann. 2015. </w:t>
      </w:r>
      <w:r w:rsidRPr="005A4C7D">
        <w:rPr>
          <w:rFonts w:eastAsia="Arial"/>
          <w:i/>
          <w:sz w:val="20"/>
        </w:rPr>
        <w:t>Aid and Growth at the Regional Level.</w:t>
      </w:r>
      <w:r w:rsidRPr="005A4C7D">
        <w:rPr>
          <w:rFonts w:eastAsia="Arial"/>
          <w:sz w:val="20"/>
        </w:rPr>
        <w:t xml:space="preserve"> IMF Working Paper WP/15/196. Research, Strategy, Policy, and Review Department. </w:t>
      </w:r>
    </w:p>
    <w:p w14:paraId="1C3FF9D7" w14:textId="77777777" w:rsidR="00137F8E" w:rsidRPr="005A4C7D" w:rsidRDefault="00137F8E" w:rsidP="00137F8E">
      <w:pPr>
        <w:ind w:left="567" w:hanging="567"/>
        <w:jc w:val="both"/>
        <w:rPr>
          <w:rFonts w:eastAsia="Arial"/>
          <w:sz w:val="20"/>
        </w:rPr>
      </w:pPr>
      <w:r w:rsidRPr="005A4C7D">
        <w:rPr>
          <w:rFonts w:eastAsia="Arial"/>
          <w:sz w:val="20"/>
        </w:rPr>
        <w:t xml:space="preserve">Ebrahim-Zadeh, C. 2003. Dutch Disease: Too much wealth managed unwisely. Back to Basics. Finance &amp; Development, a quarterly magazine of the IMF March 2003, Vol.40, No.1. Accessed 17 December 2020. https://www.imf.org/external/pubs/ft/fandd/2003/03/ebra.htm </w:t>
      </w:r>
    </w:p>
    <w:p w14:paraId="5D606AC5" w14:textId="77777777" w:rsidR="00137F8E" w:rsidRPr="005A4C7D" w:rsidRDefault="00137F8E" w:rsidP="00137F8E">
      <w:pPr>
        <w:ind w:left="567" w:hanging="567"/>
        <w:jc w:val="both"/>
        <w:rPr>
          <w:rFonts w:eastAsia="Arial"/>
          <w:sz w:val="20"/>
        </w:rPr>
      </w:pPr>
      <w:r w:rsidRPr="005A4C7D">
        <w:rPr>
          <w:rFonts w:eastAsia="Arial"/>
          <w:sz w:val="20"/>
        </w:rPr>
        <w:t xml:space="preserve">Edwards, S.. 2014. </w:t>
      </w:r>
      <w:r w:rsidRPr="005A4C7D">
        <w:rPr>
          <w:rFonts w:eastAsia="Arial"/>
          <w:i/>
          <w:sz w:val="20"/>
        </w:rPr>
        <w:t>Economic development and the effectiveness of foreign aid: A historical perspective.</w:t>
      </w:r>
      <w:r w:rsidRPr="005A4C7D">
        <w:rPr>
          <w:rFonts w:eastAsia="Arial"/>
          <w:sz w:val="20"/>
        </w:rPr>
        <w:t xml:space="preserve"> https://voxeu.org/article/development-and-foreign-aid-historical-perspective</w:t>
      </w:r>
    </w:p>
    <w:p w14:paraId="56ECF436" w14:textId="77777777" w:rsidR="00137F8E" w:rsidRPr="005A4C7D" w:rsidRDefault="00137F8E" w:rsidP="00137F8E">
      <w:pPr>
        <w:ind w:left="567" w:hanging="567"/>
        <w:jc w:val="both"/>
        <w:rPr>
          <w:rFonts w:eastAsia="Arial"/>
          <w:sz w:val="20"/>
        </w:rPr>
      </w:pPr>
      <w:r w:rsidRPr="005A4C7D">
        <w:rPr>
          <w:rFonts w:eastAsia="Arial"/>
          <w:sz w:val="20"/>
        </w:rPr>
        <w:t xml:space="preserve">Eifert, B., and A. Gelb. 2005. Coping with Aid Volatility. </w:t>
      </w:r>
      <w:r w:rsidRPr="005A4C7D">
        <w:rPr>
          <w:rFonts w:eastAsia="Arial"/>
          <w:i/>
          <w:sz w:val="20"/>
        </w:rPr>
        <w:t>A quarterly magazine of the IMF</w:t>
      </w:r>
      <w:r w:rsidRPr="005A4C7D">
        <w:rPr>
          <w:rFonts w:eastAsia="Arial"/>
          <w:sz w:val="20"/>
        </w:rPr>
        <w:t>. September 2005, Volume 42, Number 3. Accessed 17 December 2020. https://www.imf.org/external/Pubs/FT/fandd/2005/09/eifert.htm</w:t>
      </w:r>
    </w:p>
    <w:p w14:paraId="5B61A3FE" w14:textId="33AE4A0D" w:rsidR="00137F8E" w:rsidRPr="005A4C7D" w:rsidRDefault="00137F8E" w:rsidP="00137F8E">
      <w:pPr>
        <w:ind w:left="567" w:hanging="567"/>
        <w:jc w:val="both"/>
        <w:rPr>
          <w:rFonts w:eastAsia="Arial"/>
          <w:sz w:val="20"/>
        </w:rPr>
      </w:pPr>
      <w:r w:rsidRPr="005A4C7D">
        <w:rPr>
          <w:rFonts w:eastAsia="Arial"/>
          <w:sz w:val="20"/>
        </w:rPr>
        <w:t xml:space="preserve">Fauzi A. and </w:t>
      </w:r>
      <w:r w:rsidR="00F6136C" w:rsidRPr="005A4C7D">
        <w:rPr>
          <w:rFonts w:eastAsia="Arial"/>
          <w:sz w:val="20"/>
          <w:lang w:val="en-US"/>
        </w:rPr>
        <w:t xml:space="preserve">M.A. </w:t>
      </w:r>
      <w:r w:rsidRPr="005A4C7D">
        <w:rPr>
          <w:rFonts w:eastAsia="Arial"/>
          <w:sz w:val="20"/>
        </w:rPr>
        <w:t>Ingratubun</w:t>
      </w:r>
      <w:r w:rsidR="00F6136C" w:rsidRPr="005A4C7D">
        <w:rPr>
          <w:rFonts w:eastAsia="Arial"/>
          <w:sz w:val="20"/>
          <w:lang w:val="en-US"/>
        </w:rPr>
        <w:t>.</w:t>
      </w:r>
      <w:r w:rsidRPr="005A4C7D">
        <w:rPr>
          <w:rFonts w:eastAsia="Arial"/>
          <w:sz w:val="20"/>
        </w:rPr>
        <w:t xml:space="preserve"> 2020. (Accepted for publication) Opening the Black Box: Disbursement Delays Impacts on Growth in Asian Development Bank (ADB) Loan Projects in Indonesia. </w:t>
      </w:r>
      <w:r w:rsidRPr="005A4C7D">
        <w:rPr>
          <w:rFonts w:eastAsia="Arial"/>
          <w:i/>
          <w:sz w:val="20"/>
        </w:rPr>
        <w:t>Online Conscience Conference on Social Sciences and Humanities</w:t>
      </w:r>
      <w:r w:rsidRPr="005A4C7D">
        <w:rPr>
          <w:rFonts w:eastAsia="Arial"/>
          <w:sz w:val="20"/>
        </w:rPr>
        <w:t>. Accessed 25 December 2020. http://society.education/</w:t>
      </w:r>
      <w:r w:rsidR="0081742D">
        <w:rPr>
          <w:rFonts w:eastAsia="Arial"/>
          <w:sz w:val="20"/>
        </w:rPr>
        <w:t xml:space="preserve">. </w:t>
      </w:r>
    </w:p>
    <w:p w14:paraId="4BDD2216" w14:textId="77777777" w:rsidR="00137F8E" w:rsidRPr="005A4C7D" w:rsidRDefault="00137F8E" w:rsidP="00137F8E">
      <w:pPr>
        <w:ind w:left="567" w:hanging="567"/>
        <w:jc w:val="both"/>
        <w:rPr>
          <w:rFonts w:eastAsia="Arial"/>
          <w:sz w:val="20"/>
        </w:rPr>
      </w:pPr>
      <w:r w:rsidRPr="005A4C7D">
        <w:rPr>
          <w:rFonts w:eastAsia="Arial"/>
          <w:sz w:val="20"/>
        </w:rPr>
        <w:t>Fauzi, A.. 2019. Teknik Analisis Keberlanjutan. PT Gramedia Pustaka Utama, Jakarta, Indonesia.</w:t>
      </w:r>
    </w:p>
    <w:p w14:paraId="7D718586" w14:textId="77777777" w:rsidR="00137F8E" w:rsidRPr="005A4C7D" w:rsidRDefault="00137F8E" w:rsidP="00137F8E">
      <w:pPr>
        <w:ind w:left="567" w:hanging="567"/>
        <w:jc w:val="both"/>
        <w:rPr>
          <w:rFonts w:eastAsia="Arial"/>
          <w:sz w:val="20"/>
        </w:rPr>
      </w:pPr>
      <w:r w:rsidRPr="005A4C7D">
        <w:rPr>
          <w:rFonts w:eastAsia="Arial"/>
          <w:sz w:val="20"/>
        </w:rPr>
        <w:t xml:space="preserve">Galbraith, J. K. 1975. </w:t>
      </w:r>
      <w:r w:rsidRPr="005A4C7D">
        <w:rPr>
          <w:rFonts w:eastAsia="Arial"/>
          <w:i/>
          <w:sz w:val="20"/>
        </w:rPr>
        <w:t>Money, Whence it Came, Where It Went.</w:t>
      </w:r>
      <w:r w:rsidRPr="005A4C7D">
        <w:rPr>
          <w:rFonts w:eastAsia="Arial"/>
          <w:sz w:val="20"/>
        </w:rPr>
        <w:t xml:space="preserve"> Boston, U.S.: Houghton Mifflin.</w:t>
      </w:r>
    </w:p>
    <w:p w14:paraId="071C563A" w14:textId="77777777" w:rsidR="00137F8E" w:rsidRPr="005A4C7D" w:rsidRDefault="00137F8E" w:rsidP="00137F8E">
      <w:pPr>
        <w:ind w:left="567" w:hanging="567"/>
        <w:jc w:val="both"/>
        <w:rPr>
          <w:rFonts w:eastAsia="Arial"/>
          <w:sz w:val="20"/>
        </w:rPr>
      </w:pPr>
      <w:r w:rsidRPr="005A4C7D">
        <w:rPr>
          <w:rFonts w:eastAsia="Arial"/>
          <w:sz w:val="20"/>
        </w:rPr>
        <w:t xml:space="preserve">Global Financial Integrity (GFI) et al. (2015). Financial Flows and Tax Havens: Combining to Limit the Lives of Billions of People. Accessed 17 December 2020. https://secureservercdn.net/45.40.149.159/34n.8bd.myftpupload.com/wp-content/uploads/2016/12/Financial_Flows-final.pdf </w:t>
      </w:r>
    </w:p>
    <w:p w14:paraId="65249BF3" w14:textId="77777777" w:rsidR="00137F8E" w:rsidRPr="005A4C7D" w:rsidRDefault="00137F8E" w:rsidP="00137F8E">
      <w:pPr>
        <w:ind w:left="567" w:hanging="567"/>
        <w:jc w:val="both"/>
        <w:rPr>
          <w:rFonts w:eastAsia="Arial"/>
          <w:sz w:val="20"/>
        </w:rPr>
      </w:pPr>
      <w:r w:rsidRPr="005A4C7D">
        <w:rPr>
          <w:rFonts w:eastAsia="Arial"/>
          <w:sz w:val="20"/>
        </w:rPr>
        <w:t xml:space="preserve">Gross, M., and C. Siebenbrunner. 2019. </w:t>
      </w:r>
      <w:r w:rsidRPr="005A4C7D">
        <w:rPr>
          <w:rFonts w:eastAsia="Arial"/>
          <w:i/>
          <w:sz w:val="20"/>
        </w:rPr>
        <w:t>Money Creation in Fiat and Digital Currency Systems.</w:t>
      </w:r>
      <w:r w:rsidRPr="005A4C7D">
        <w:rPr>
          <w:rFonts w:eastAsia="Arial"/>
          <w:sz w:val="20"/>
        </w:rPr>
        <w:t xml:space="preserve"> IMF Working Paper WP/19/285. International Monetary Fund.</w:t>
      </w:r>
    </w:p>
    <w:p w14:paraId="487FB1E9" w14:textId="77777777" w:rsidR="00137F8E" w:rsidRPr="005A4C7D" w:rsidRDefault="00137F8E" w:rsidP="00137F8E">
      <w:pPr>
        <w:ind w:left="567" w:hanging="567"/>
        <w:jc w:val="both"/>
        <w:rPr>
          <w:rFonts w:eastAsia="Arial"/>
          <w:sz w:val="20"/>
        </w:rPr>
      </w:pPr>
      <w:r w:rsidRPr="005A4C7D">
        <w:rPr>
          <w:rFonts w:eastAsia="Arial"/>
          <w:sz w:val="20"/>
        </w:rPr>
        <w:t xml:space="preserve">Hickel, J. 2017. </w:t>
      </w:r>
      <w:r w:rsidRPr="005A4C7D">
        <w:rPr>
          <w:rFonts w:eastAsia="Arial"/>
          <w:i/>
          <w:sz w:val="20"/>
        </w:rPr>
        <w:t>Aid in reverse: how poor countries develop rich countries</w:t>
      </w:r>
      <w:r w:rsidRPr="005A4C7D">
        <w:rPr>
          <w:rFonts w:eastAsia="Arial"/>
          <w:sz w:val="20"/>
        </w:rPr>
        <w:t>. Accessed 17 December 2020. https://www.theguardian.com/global-development-professionals-network/2017/jan/14/aid-in-reverse-how-poor-countries-develop-rich-countries</w:t>
      </w:r>
    </w:p>
    <w:p w14:paraId="65D9226A" w14:textId="77777777" w:rsidR="00137F8E" w:rsidRPr="005A4C7D" w:rsidRDefault="00137F8E" w:rsidP="00137F8E">
      <w:pPr>
        <w:ind w:left="567" w:hanging="567"/>
        <w:jc w:val="both"/>
        <w:rPr>
          <w:rFonts w:eastAsia="Arial"/>
          <w:sz w:val="20"/>
        </w:rPr>
      </w:pPr>
      <w:r w:rsidRPr="005A4C7D">
        <w:rPr>
          <w:rFonts w:eastAsia="Arial"/>
          <w:sz w:val="20"/>
        </w:rPr>
        <w:t xml:space="preserve">Howarth, C. N. 2017. </w:t>
      </w:r>
      <w:r w:rsidRPr="005A4C7D">
        <w:rPr>
          <w:rFonts w:eastAsia="Arial"/>
          <w:i/>
          <w:sz w:val="20"/>
        </w:rPr>
        <w:t xml:space="preserve">Does Development Aid Work? </w:t>
      </w:r>
      <w:r w:rsidRPr="005A4C7D">
        <w:rPr>
          <w:rFonts w:eastAsia="Arial"/>
          <w:sz w:val="20"/>
        </w:rPr>
        <w:t>A report by Christopher N. Howarth for the Global Development Challenge. The Project for Modern Democracy. Accessed 17 December 2020. https://issuu.com/p4md/docs/pmd_aid_effectiveness_report.</w:t>
      </w:r>
    </w:p>
    <w:p w14:paraId="560A367D" w14:textId="77777777" w:rsidR="00137F8E" w:rsidRPr="005A4C7D" w:rsidRDefault="00137F8E" w:rsidP="00137F8E">
      <w:pPr>
        <w:ind w:left="567" w:hanging="567"/>
        <w:jc w:val="both"/>
        <w:rPr>
          <w:rFonts w:eastAsia="Arial"/>
          <w:sz w:val="20"/>
        </w:rPr>
      </w:pPr>
      <w:r w:rsidRPr="005A4C7D">
        <w:rPr>
          <w:rFonts w:eastAsia="Arial"/>
          <w:sz w:val="20"/>
        </w:rPr>
        <w:t xml:space="preserve">Hudson, J., and P. Mosley. 2008. Aid volatility, policy, and development. </w:t>
      </w:r>
      <w:r w:rsidRPr="005A4C7D">
        <w:rPr>
          <w:rFonts w:eastAsia="Arial"/>
          <w:i/>
          <w:sz w:val="20"/>
        </w:rPr>
        <w:t>World Development</w:t>
      </w:r>
      <w:r w:rsidRPr="005A4C7D">
        <w:rPr>
          <w:rFonts w:eastAsia="Arial"/>
          <w:sz w:val="20"/>
        </w:rPr>
        <w:t>, 36(10), 2082-2102</w:t>
      </w:r>
    </w:p>
    <w:p w14:paraId="60D94E85" w14:textId="77777777" w:rsidR="00137F8E" w:rsidRPr="005A4C7D" w:rsidRDefault="00137F8E" w:rsidP="00137F8E">
      <w:pPr>
        <w:ind w:left="567" w:hanging="567"/>
        <w:jc w:val="both"/>
        <w:rPr>
          <w:rFonts w:eastAsia="Arial"/>
          <w:sz w:val="20"/>
        </w:rPr>
      </w:pPr>
      <w:r w:rsidRPr="005A4C7D">
        <w:rPr>
          <w:rFonts w:eastAsia="Arial"/>
          <w:sz w:val="20"/>
        </w:rPr>
        <w:t xml:space="preserve">Hudson, J.. 2015. Consequences of Aid Volatility for Macroeconomic Management and Aid Effectiveness. </w:t>
      </w:r>
      <w:r w:rsidRPr="005A4C7D">
        <w:rPr>
          <w:rFonts w:eastAsia="Arial"/>
          <w:i/>
          <w:sz w:val="20"/>
        </w:rPr>
        <w:t>World Development</w:t>
      </w:r>
      <w:r w:rsidRPr="005A4C7D">
        <w:rPr>
          <w:rFonts w:eastAsia="Arial"/>
          <w:sz w:val="20"/>
        </w:rPr>
        <w:t xml:space="preserve"> Vol. 69, pp. 62–74, 2015. 0305-750X/ 2014 UNU-Wider. Elsevier Ltd.</w:t>
      </w:r>
    </w:p>
    <w:p w14:paraId="0BA640DA" w14:textId="163F3344" w:rsidR="00137F8E" w:rsidRPr="005A4C7D" w:rsidRDefault="00137F8E" w:rsidP="00137F8E">
      <w:pPr>
        <w:ind w:left="567" w:hanging="567"/>
        <w:jc w:val="both"/>
        <w:rPr>
          <w:rFonts w:eastAsia="Arial"/>
          <w:sz w:val="20"/>
        </w:rPr>
      </w:pPr>
      <w:r w:rsidRPr="005A4C7D">
        <w:rPr>
          <w:rFonts w:eastAsia="Arial"/>
          <w:sz w:val="20"/>
        </w:rPr>
        <w:t xml:space="preserve">Hudson, M. J. 2018. </w:t>
      </w:r>
      <w:r w:rsidRPr="005A4C7D">
        <w:rPr>
          <w:rFonts w:eastAsia="Arial"/>
          <w:i/>
          <w:sz w:val="20"/>
        </w:rPr>
        <w:t>Palatial Credit: Origins of Money and Interest</w:t>
      </w:r>
      <w:r w:rsidR="0081742D">
        <w:rPr>
          <w:rFonts w:eastAsia="Arial"/>
          <w:i/>
          <w:sz w:val="20"/>
        </w:rPr>
        <w:t xml:space="preserve">. </w:t>
      </w:r>
      <w:r w:rsidRPr="005A4C7D">
        <w:rPr>
          <w:rFonts w:eastAsia="Arial"/>
          <w:sz w:val="20"/>
        </w:rPr>
        <w:t xml:space="preserve">Accessed 17 December 2020. https://michael-hudson.com/2018/04/palatial-credit-origins-of-money-and-interest/ </w:t>
      </w:r>
    </w:p>
    <w:p w14:paraId="04129A54" w14:textId="77777777" w:rsidR="00137F8E" w:rsidRPr="005A4C7D" w:rsidRDefault="00137F8E" w:rsidP="00137F8E">
      <w:pPr>
        <w:ind w:left="567" w:hanging="567"/>
        <w:jc w:val="both"/>
        <w:rPr>
          <w:rFonts w:eastAsia="Arial"/>
          <w:sz w:val="20"/>
        </w:rPr>
      </w:pPr>
      <w:r w:rsidRPr="005A4C7D">
        <w:rPr>
          <w:rFonts w:eastAsia="Arial"/>
          <w:sz w:val="20"/>
        </w:rPr>
        <w:t xml:space="preserve">Ingratubun, M. A. 2020. (Unpublished) </w:t>
      </w:r>
      <w:r w:rsidRPr="005A4C7D">
        <w:rPr>
          <w:rFonts w:eastAsia="Arial"/>
          <w:i/>
          <w:sz w:val="20"/>
        </w:rPr>
        <w:t>Tracking Effectiveness of Loan Funds (Aid) (TEA) through Development Outcomes Attribution (DOA) on Bank Outlays Growth On-development Results (BOGOR). Case Study: Indonesia Loans from the Asian Development Bank (ADB)</w:t>
      </w:r>
      <w:r w:rsidRPr="005A4C7D">
        <w:rPr>
          <w:rFonts w:eastAsia="Arial"/>
          <w:sz w:val="20"/>
        </w:rPr>
        <w:t>. Bogor, Indonesia.</w:t>
      </w:r>
    </w:p>
    <w:p w14:paraId="58B745A8" w14:textId="77777777" w:rsidR="00137F8E" w:rsidRPr="005A4C7D" w:rsidRDefault="00137F8E" w:rsidP="00137F8E">
      <w:pPr>
        <w:ind w:left="567" w:hanging="567"/>
        <w:jc w:val="both"/>
        <w:rPr>
          <w:rFonts w:eastAsia="Arial"/>
          <w:sz w:val="20"/>
        </w:rPr>
      </w:pPr>
      <w:r w:rsidRPr="005A4C7D">
        <w:rPr>
          <w:rFonts w:eastAsia="Arial"/>
          <w:sz w:val="20"/>
        </w:rPr>
        <w:t xml:space="preserve">Jepma, C. J. 1991. </w:t>
      </w:r>
      <w:r w:rsidRPr="005A4C7D">
        <w:rPr>
          <w:rFonts w:eastAsia="Arial"/>
          <w:i/>
          <w:sz w:val="20"/>
        </w:rPr>
        <w:t>The tying of aid, Paris</w:t>
      </w:r>
      <w:r w:rsidRPr="005A4C7D">
        <w:rPr>
          <w:rFonts w:eastAsia="Arial"/>
          <w:sz w:val="20"/>
        </w:rPr>
        <w:t>, OECD.</w:t>
      </w:r>
    </w:p>
    <w:p w14:paraId="09F82044" w14:textId="77777777" w:rsidR="00137F8E" w:rsidRPr="005A4C7D" w:rsidRDefault="00137F8E" w:rsidP="00137F8E">
      <w:pPr>
        <w:ind w:left="567" w:hanging="567"/>
        <w:jc w:val="both"/>
        <w:rPr>
          <w:rFonts w:eastAsia="Arial"/>
          <w:sz w:val="20"/>
        </w:rPr>
      </w:pPr>
      <w:r w:rsidRPr="005A4C7D">
        <w:rPr>
          <w:rFonts w:eastAsia="Arial"/>
          <w:sz w:val="20"/>
        </w:rPr>
        <w:t xml:space="preserve">Kanbur, R. 2000. </w:t>
      </w:r>
      <w:r w:rsidRPr="005A4C7D">
        <w:rPr>
          <w:rFonts w:eastAsia="Arial"/>
          <w:i/>
          <w:sz w:val="20"/>
        </w:rPr>
        <w:t>Aid, Conditionality, and Debt in Africa</w:t>
      </w:r>
      <w:r w:rsidRPr="005A4C7D">
        <w:rPr>
          <w:rFonts w:eastAsia="Arial"/>
          <w:sz w:val="20"/>
        </w:rPr>
        <w:t xml:space="preserve">, in F. Tarp (ed.), </w:t>
      </w:r>
      <w:r w:rsidRPr="005A4C7D">
        <w:rPr>
          <w:rFonts w:eastAsia="Arial"/>
          <w:i/>
          <w:sz w:val="20"/>
        </w:rPr>
        <w:t>Foreign Aid and Development: Lessons Learnt and Directions for the Future</w:t>
      </w:r>
      <w:r w:rsidRPr="005A4C7D">
        <w:rPr>
          <w:rFonts w:eastAsia="Arial"/>
          <w:sz w:val="20"/>
        </w:rPr>
        <w:t>, London and New York: Routledge, 409–22.</w:t>
      </w:r>
    </w:p>
    <w:p w14:paraId="0EFA8934" w14:textId="075FBFEB" w:rsidR="00137F8E" w:rsidRPr="005A4C7D" w:rsidRDefault="00137F8E" w:rsidP="00137F8E">
      <w:pPr>
        <w:ind w:left="567" w:hanging="567"/>
        <w:jc w:val="both"/>
        <w:rPr>
          <w:rFonts w:eastAsia="Arial"/>
          <w:sz w:val="20"/>
        </w:rPr>
      </w:pPr>
      <w:r w:rsidRPr="005A4C7D">
        <w:rPr>
          <w:rFonts w:eastAsia="Arial"/>
          <w:sz w:val="20"/>
        </w:rPr>
        <w:t xml:space="preserve">Keen, S. 2014. Endogenous money and effective demand. </w:t>
      </w:r>
      <w:r w:rsidRPr="005A4C7D">
        <w:rPr>
          <w:rFonts w:eastAsia="Arial"/>
          <w:i/>
          <w:sz w:val="20"/>
        </w:rPr>
        <w:t>Review of Keynesian Economics</w:t>
      </w:r>
      <w:r w:rsidRPr="005A4C7D">
        <w:rPr>
          <w:rFonts w:eastAsia="Arial"/>
          <w:sz w:val="20"/>
        </w:rPr>
        <w:t>, 2(3), Autumn 2014, pp. 271–291</w:t>
      </w:r>
      <w:r w:rsidR="0081742D">
        <w:rPr>
          <w:rFonts w:eastAsia="Arial"/>
          <w:sz w:val="20"/>
        </w:rPr>
        <w:t xml:space="preserve">. </w:t>
      </w:r>
      <w:r w:rsidRPr="005A4C7D">
        <w:rPr>
          <w:rFonts w:eastAsia="Arial"/>
          <w:sz w:val="20"/>
        </w:rPr>
        <w:t xml:space="preserve">Accessed 17 December 2020. https://www.researchgate.net/publication/271215627_Endogenous_money_and_effective_demand </w:t>
      </w:r>
    </w:p>
    <w:p w14:paraId="3C6E41B8" w14:textId="7D5418CC" w:rsidR="00137F8E" w:rsidRPr="005A4C7D" w:rsidRDefault="00137F8E" w:rsidP="00137F8E">
      <w:pPr>
        <w:ind w:left="567" w:hanging="567"/>
        <w:jc w:val="both"/>
        <w:rPr>
          <w:rFonts w:eastAsia="Arial"/>
          <w:sz w:val="20"/>
        </w:rPr>
      </w:pPr>
      <w:r w:rsidRPr="005A4C7D">
        <w:rPr>
          <w:rFonts w:eastAsia="Arial"/>
          <w:sz w:val="20"/>
        </w:rPr>
        <w:t>Khaldun, I. 1377</w:t>
      </w:r>
      <w:r w:rsidR="0081742D">
        <w:rPr>
          <w:rFonts w:eastAsia="Arial"/>
          <w:sz w:val="20"/>
        </w:rPr>
        <w:t xml:space="preserve">. </w:t>
      </w:r>
      <w:r w:rsidRPr="005A4C7D">
        <w:rPr>
          <w:rFonts w:eastAsia="Arial"/>
          <w:i/>
          <w:sz w:val="20"/>
        </w:rPr>
        <w:t>The Muqaddimah: An Introduction to History.</w:t>
      </w:r>
      <w:r w:rsidRPr="005A4C7D">
        <w:rPr>
          <w:rFonts w:eastAsia="Arial"/>
          <w:sz w:val="20"/>
        </w:rPr>
        <w:t xml:space="preserve"> Translated by Franz Rosenthal (1969)</w:t>
      </w:r>
      <w:r w:rsidR="0081742D">
        <w:rPr>
          <w:rFonts w:eastAsia="Arial"/>
          <w:sz w:val="20"/>
        </w:rPr>
        <w:t xml:space="preserve">. </w:t>
      </w:r>
      <w:r w:rsidRPr="005A4C7D">
        <w:rPr>
          <w:rFonts w:eastAsia="Arial"/>
          <w:sz w:val="20"/>
        </w:rPr>
        <w:t>Accessed 17 December 2020. https://asadullahali.files.wordpress.com/2012/10/ibn_khaldun-al_muqaddimah.pdf</w:t>
      </w:r>
    </w:p>
    <w:p w14:paraId="6CDC01AA" w14:textId="77777777" w:rsidR="00137F8E" w:rsidRPr="005A4C7D" w:rsidRDefault="00137F8E" w:rsidP="00137F8E">
      <w:pPr>
        <w:ind w:left="567" w:hanging="567"/>
        <w:jc w:val="both"/>
        <w:rPr>
          <w:rFonts w:eastAsia="Arial"/>
          <w:sz w:val="20"/>
        </w:rPr>
      </w:pPr>
      <w:r w:rsidRPr="005A4C7D">
        <w:rPr>
          <w:rFonts w:eastAsia="Arial"/>
          <w:sz w:val="20"/>
        </w:rPr>
        <w:t xml:space="preserve">Kharas, H. J. 2008. </w:t>
      </w:r>
      <w:r w:rsidRPr="005A4C7D">
        <w:rPr>
          <w:rFonts w:eastAsia="Arial"/>
          <w:i/>
          <w:sz w:val="20"/>
        </w:rPr>
        <w:t>Measuring the Cost of Aid Volatility.</w:t>
      </w:r>
      <w:r w:rsidRPr="005A4C7D">
        <w:rPr>
          <w:rFonts w:eastAsia="Arial"/>
          <w:sz w:val="20"/>
        </w:rPr>
        <w:t xml:space="preserve"> Wolfensohn Center for Development Working Papers.</w:t>
      </w:r>
    </w:p>
    <w:p w14:paraId="4F38BE15" w14:textId="56C4EBE5" w:rsidR="00137F8E" w:rsidRPr="005A4C7D" w:rsidRDefault="00137F8E" w:rsidP="00137F8E">
      <w:pPr>
        <w:ind w:left="567" w:hanging="567"/>
        <w:jc w:val="both"/>
        <w:rPr>
          <w:rFonts w:eastAsia="Arial"/>
          <w:sz w:val="20"/>
        </w:rPr>
      </w:pPr>
      <w:r w:rsidRPr="005A4C7D">
        <w:rPr>
          <w:rFonts w:eastAsia="Arial"/>
          <w:sz w:val="20"/>
        </w:rPr>
        <w:t xml:space="preserve">Lotti, G., and A. Presbitero. 2019. </w:t>
      </w:r>
      <w:r w:rsidRPr="005A4C7D">
        <w:rPr>
          <w:rFonts w:eastAsia="Arial"/>
          <w:i/>
          <w:sz w:val="20"/>
        </w:rPr>
        <w:t>The mobilization effects of multilateral development banks</w:t>
      </w:r>
      <w:r w:rsidR="0081742D">
        <w:rPr>
          <w:rFonts w:eastAsia="Arial"/>
          <w:i/>
          <w:sz w:val="20"/>
        </w:rPr>
        <w:t xml:space="preserve">. </w:t>
      </w:r>
      <w:r w:rsidRPr="005A4C7D">
        <w:rPr>
          <w:rFonts w:eastAsia="Arial"/>
          <w:sz w:val="20"/>
        </w:rPr>
        <w:t xml:space="preserve">Accessed 17 December 2020. https://voxeu.org/article/mobilisation-effects-multilateral-development-banks </w:t>
      </w:r>
    </w:p>
    <w:p w14:paraId="4EE1180D" w14:textId="77777777" w:rsidR="00137F8E" w:rsidRPr="005A4C7D" w:rsidRDefault="00137F8E" w:rsidP="00137F8E">
      <w:pPr>
        <w:ind w:left="567" w:hanging="567"/>
        <w:jc w:val="both"/>
        <w:rPr>
          <w:rFonts w:eastAsia="Arial"/>
          <w:sz w:val="20"/>
        </w:rPr>
      </w:pPr>
      <w:r w:rsidRPr="005A4C7D">
        <w:rPr>
          <w:rFonts w:eastAsia="Arial"/>
          <w:sz w:val="20"/>
        </w:rPr>
        <w:t xml:space="preserve">Mazzi, Biagio. 2013. </w:t>
      </w:r>
      <w:r w:rsidRPr="005A4C7D">
        <w:rPr>
          <w:rFonts w:eastAsia="Arial"/>
          <w:i/>
          <w:sz w:val="20"/>
        </w:rPr>
        <w:t>Treasury Finance and Development Banking. A Guide to Credit, Debt, and Risk.</w:t>
      </w:r>
      <w:r w:rsidRPr="005A4C7D">
        <w:rPr>
          <w:rFonts w:eastAsia="Arial"/>
          <w:sz w:val="20"/>
        </w:rPr>
        <w:t xml:space="preserve"> New Jersey, USA: John Wiley &amp; Sons, Inc.</w:t>
      </w:r>
    </w:p>
    <w:p w14:paraId="2C647E32" w14:textId="4908AF21" w:rsidR="00137F8E" w:rsidRPr="005A4C7D" w:rsidRDefault="00137F8E" w:rsidP="00137F8E">
      <w:pPr>
        <w:ind w:left="567" w:hanging="567"/>
        <w:jc w:val="both"/>
        <w:rPr>
          <w:rFonts w:eastAsia="Arial"/>
          <w:sz w:val="20"/>
          <w:lang w:val="en-US"/>
        </w:rPr>
      </w:pPr>
      <w:r w:rsidRPr="005A4C7D">
        <w:rPr>
          <w:rFonts w:eastAsia="Arial"/>
          <w:sz w:val="20"/>
        </w:rPr>
        <w:t xml:space="preserve">McKee, C., C. Blampied, I. Mitchell, and A. Rogerson. (2020). </w:t>
      </w:r>
      <w:r w:rsidRPr="005A4C7D">
        <w:rPr>
          <w:rFonts w:eastAsia="Arial"/>
          <w:i/>
          <w:sz w:val="20"/>
        </w:rPr>
        <w:t>Revisiting Aid Effectiveness: A New Framework and Set of Measures for Assessing Aid “Quality”</w:t>
      </w:r>
      <w:r w:rsidRPr="005A4C7D">
        <w:rPr>
          <w:rFonts w:eastAsia="Arial"/>
          <w:sz w:val="20"/>
        </w:rPr>
        <w:t>. Working Paper 524, January 2020. Washington, USA: Center for Global Development</w:t>
      </w:r>
      <w:r w:rsidR="00F6136C" w:rsidRPr="005A4C7D">
        <w:rPr>
          <w:rFonts w:eastAsia="Arial"/>
          <w:sz w:val="20"/>
          <w:lang w:val="en-US"/>
        </w:rPr>
        <w:t>.</w:t>
      </w:r>
    </w:p>
    <w:p w14:paraId="264A04FB" w14:textId="532F80C2" w:rsidR="00137F8E" w:rsidRPr="005A4C7D" w:rsidRDefault="00137F8E" w:rsidP="00137F8E">
      <w:pPr>
        <w:ind w:left="567" w:hanging="567"/>
        <w:jc w:val="both"/>
        <w:rPr>
          <w:rFonts w:eastAsia="Arial"/>
          <w:sz w:val="20"/>
        </w:rPr>
      </w:pPr>
      <w:r w:rsidRPr="005A4C7D">
        <w:rPr>
          <w:rFonts w:eastAsia="Arial"/>
          <w:sz w:val="20"/>
        </w:rPr>
        <w:lastRenderedPageBreak/>
        <w:t xml:space="preserve">McLeay, M., A. Radia, and R. Thomas. 2014. </w:t>
      </w:r>
      <w:r w:rsidRPr="005A4C7D">
        <w:rPr>
          <w:rFonts w:eastAsia="Arial"/>
          <w:i/>
          <w:sz w:val="20"/>
        </w:rPr>
        <w:t>Money creation in the modern economy</w:t>
      </w:r>
      <w:r w:rsidR="0081742D">
        <w:rPr>
          <w:rFonts w:eastAsia="Arial"/>
          <w:i/>
          <w:sz w:val="20"/>
        </w:rPr>
        <w:t xml:space="preserve">. </w:t>
      </w:r>
      <w:r w:rsidRPr="005A4C7D">
        <w:rPr>
          <w:rFonts w:eastAsia="Arial"/>
          <w:sz w:val="20"/>
        </w:rPr>
        <w:t>Bank of England. Quarterly Bulletin, Q1, pp.14-27.</w:t>
      </w:r>
    </w:p>
    <w:p w14:paraId="00ADC93C" w14:textId="77777777" w:rsidR="00137F8E" w:rsidRPr="005A4C7D" w:rsidRDefault="00137F8E" w:rsidP="00137F8E">
      <w:pPr>
        <w:ind w:left="567" w:hanging="567"/>
        <w:jc w:val="both"/>
        <w:rPr>
          <w:rFonts w:eastAsia="Arial"/>
          <w:sz w:val="20"/>
        </w:rPr>
      </w:pPr>
      <w:r w:rsidRPr="005A4C7D">
        <w:rPr>
          <w:rFonts w:eastAsia="Arial"/>
          <w:sz w:val="20"/>
        </w:rPr>
        <w:t xml:space="preserve">Minoiu, C., and S. G. Reddy. 2009. </w:t>
      </w:r>
      <w:r w:rsidRPr="005A4C7D">
        <w:rPr>
          <w:rFonts w:eastAsia="Arial"/>
          <w:i/>
          <w:sz w:val="20"/>
        </w:rPr>
        <w:t>Development Aid and Economic Growth: A Positive Long-Run Relation</w:t>
      </w:r>
      <w:r w:rsidRPr="005A4C7D">
        <w:rPr>
          <w:rFonts w:eastAsia="Arial"/>
          <w:sz w:val="20"/>
        </w:rPr>
        <w:t>. IMF Working Paper WP/09/118. International Monetary Fund.</w:t>
      </w:r>
    </w:p>
    <w:p w14:paraId="260DB12E" w14:textId="150A46E2" w:rsidR="00137F8E" w:rsidRPr="005A4C7D" w:rsidRDefault="00137F8E" w:rsidP="00137F8E">
      <w:pPr>
        <w:ind w:left="567" w:hanging="567"/>
        <w:jc w:val="both"/>
        <w:rPr>
          <w:rFonts w:eastAsia="Arial"/>
          <w:sz w:val="20"/>
        </w:rPr>
      </w:pPr>
      <w:r w:rsidRPr="005A4C7D">
        <w:rPr>
          <w:rFonts w:eastAsia="Arial"/>
          <w:sz w:val="20"/>
        </w:rPr>
        <w:t>Moore, B. J. 1983</w:t>
      </w:r>
      <w:r w:rsidR="0081742D">
        <w:rPr>
          <w:rFonts w:eastAsia="Arial"/>
          <w:sz w:val="20"/>
        </w:rPr>
        <w:t xml:space="preserve">. </w:t>
      </w:r>
      <w:r w:rsidRPr="005A4C7D">
        <w:rPr>
          <w:rFonts w:eastAsia="Arial"/>
          <w:sz w:val="20"/>
        </w:rPr>
        <w:t xml:space="preserve">Unpacking the Post Keynesian Black Box: Bank Lending and the Money Supply. </w:t>
      </w:r>
      <w:r w:rsidRPr="005A4C7D">
        <w:rPr>
          <w:rFonts w:eastAsia="Arial"/>
          <w:i/>
          <w:sz w:val="20"/>
        </w:rPr>
        <w:t>Journal of Post Keynesian Economics</w:t>
      </w:r>
      <w:r w:rsidRPr="005A4C7D">
        <w:rPr>
          <w:rFonts w:eastAsia="Arial"/>
          <w:sz w:val="20"/>
        </w:rPr>
        <w:t xml:space="preserve"> 5(4): 537–556.</w:t>
      </w:r>
    </w:p>
    <w:p w14:paraId="7652F5E5" w14:textId="3C356134" w:rsidR="00137F8E" w:rsidRPr="005A4C7D" w:rsidRDefault="00137F8E" w:rsidP="00137F8E">
      <w:pPr>
        <w:ind w:left="567" w:hanging="567"/>
        <w:jc w:val="both"/>
        <w:rPr>
          <w:rFonts w:eastAsia="Arial"/>
          <w:sz w:val="20"/>
        </w:rPr>
      </w:pPr>
      <w:r w:rsidRPr="005A4C7D">
        <w:rPr>
          <w:rFonts w:eastAsia="Arial"/>
          <w:sz w:val="20"/>
        </w:rPr>
        <w:t>Nichols, D. M. (1994)</w:t>
      </w:r>
      <w:r w:rsidR="0081742D">
        <w:rPr>
          <w:rFonts w:eastAsia="Arial"/>
          <w:sz w:val="20"/>
        </w:rPr>
        <w:t xml:space="preserve">. </w:t>
      </w:r>
      <w:r w:rsidRPr="005A4C7D">
        <w:rPr>
          <w:rFonts w:eastAsia="Arial"/>
          <w:i/>
          <w:sz w:val="20"/>
        </w:rPr>
        <w:t>Modern Money Mechanics. A Workbook on Bank Reserves and Deposit Expansion.</w:t>
      </w:r>
      <w:r w:rsidRPr="005A4C7D">
        <w:rPr>
          <w:rFonts w:eastAsia="Arial"/>
          <w:sz w:val="20"/>
        </w:rPr>
        <w:t xml:space="preserve"> 1st published in 1961. Last revision by Anne Marie L. Gonczy (1992). Chicago, IL, U.S.: Federal Reserve Bank of Chicago.</w:t>
      </w:r>
    </w:p>
    <w:p w14:paraId="67B042C5" w14:textId="77777777" w:rsidR="00137F8E" w:rsidRPr="005A4C7D" w:rsidRDefault="00137F8E" w:rsidP="00137F8E">
      <w:pPr>
        <w:ind w:left="567" w:hanging="567"/>
        <w:jc w:val="both"/>
        <w:rPr>
          <w:rFonts w:eastAsia="Arial"/>
          <w:sz w:val="20"/>
        </w:rPr>
      </w:pPr>
      <w:r w:rsidRPr="005A4C7D">
        <w:rPr>
          <w:rFonts w:eastAsia="Arial"/>
          <w:sz w:val="20"/>
        </w:rPr>
        <w:t xml:space="preserve">OECD, 2003, </w:t>
      </w:r>
      <w:r w:rsidRPr="005A4C7D">
        <w:rPr>
          <w:rFonts w:eastAsia="Arial"/>
          <w:i/>
          <w:sz w:val="20"/>
        </w:rPr>
        <w:t>Harmonising Donor Practices for Effective Aid Delivery. DAC Guidelines and Reference Series</w:t>
      </w:r>
      <w:r w:rsidRPr="005A4C7D">
        <w:rPr>
          <w:rFonts w:eastAsia="Arial"/>
          <w:sz w:val="20"/>
        </w:rPr>
        <w:t xml:space="preserve"> (Paris: Organisation for Economic Co-operation and Development, Development Assistance Committee). Accessed 17 December 2020. http://www.oecd.org/dataoecd/0/48/20896122.pdf</w:t>
      </w:r>
    </w:p>
    <w:p w14:paraId="6FFE6970" w14:textId="77777777" w:rsidR="00137F8E" w:rsidRPr="005A4C7D" w:rsidRDefault="00137F8E" w:rsidP="00137F8E">
      <w:pPr>
        <w:ind w:left="567" w:hanging="567"/>
        <w:jc w:val="both"/>
        <w:rPr>
          <w:rFonts w:eastAsia="Arial"/>
          <w:sz w:val="20"/>
        </w:rPr>
      </w:pPr>
      <w:r w:rsidRPr="005A4C7D">
        <w:rPr>
          <w:rFonts w:eastAsia="Arial"/>
          <w:sz w:val="20"/>
        </w:rPr>
        <w:t>Pallage, S. P., and M. A. Robe. 2001. Foreign aid and business cycles. Review of International Economics 9, 641-672.</w:t>
      </w:r>
    </w:p>
    <w:p w14:paraId="0E1FE0C8" w14:textId="77777777" w:rsidR="00137F8E" w:rsidRPr="005A4C7D" w:rsidRDefault="00137F8E" w:rsidP="00137F8E">
      <w:pPr>
        <w:ind w:left="567" w:hanging="567"/>
        <w:jc w:val="both"/>
        <w:rPr>
          <w:rFonts w:eastAsia="Arial"/>
          <w:sz w:val="20"/>
        </w:rPr>
      </w:pPr>
      <w:r w:rsidRPr="005A4C7D">
        <w:rPr>
          <w:rFonts w:eastAsia="Arial"/>
          <w:sz w:val="20"/>
        </w:rPr>
        <w:t xml:space="preserve">Quibria, M. G. 2014. Aid effectiveness: research, policy, and unresolved issues. </w:t>
      </w:r>
      <w:r w:rsidRPr="005A4C7D">
        <w:rPr>
          <w:rFonts w:eastAsia="Arial"/>
          <w:i/>
          <w:sz w:val="20"/>
        </w:rPr>
        <w:t>Development Studies Research</w:t>
      </w:r>
      <w:r w:rsidRPr="005A4C7D">
        <w:rPr>
          <w:rFonts w:eastAsia="Arial"/>
          <w:sz w:val="20"/>
        </w:rPr>
        <w:t>: An Open Access Journal, 1(1): 75–87.</w:t>
      </w:r>
    </w:p>
    <w:p w14:paraId="77FF0C21" w14:textId="0BF75D9B" w:rsidR="00137F8E" w:rsidRPr="005A4C7D" w:rsidRDefault="00137F8E" w:rsidP="00137F8E">
      <w:pPr>
        <w:ind w:left="567" w:hanging="567"/>
        <w:jc w:val="both"/>
        <w:rPr>
          <w:rFonts w:eastAsia="Arial"/>
          <w:sz w:val="20"/>
        </w:rPr>
      </w:pPr>
      <w:r w:rsidRPr="005A4C7D">
        <w:rPr>
          <w:rFonts w:eastAsia="Arial"/>
          <w:sz w:val="20"/>
        </w:rPr>
        <w:t>Rajan, R. G., and Arvind Subramanian. 2008</w:t>
      </w:r>
      <w:r w:rsidR="0081742D">
        <w:rPr>
          <w:rFonts w:eastAsia="Arial"/>
          <w:sz w:val="20"/>
        </w:rPr>
        <w:t xml:space="preserve">. </w:t>
      </w:r>
      <w:r w:rsidRPr="005A4C7D">
        <w:rPr>
          <w:rFonts w:eastAsia="Arial"/>
          <w:sz w:val="20"/>
        </w:rPr>
        <w:t xml:space="preserve">Aid and Growth: What Does the Cross-Country Evidence Show? </w:t>
      </w:r>
      <w:r w:rsidRPr="005A4C7D">
        <w:rPr>
          <w:rFonts w:eastAsia="Arial"/>
          <w:i/>
          <w:sz w:val="20"/>
        </w:rPr>
        <w:t>Review of Economics and Statistics,</w:t>
      </w:r>
      <w:r w:rsidRPr="005A4C7D">
        <w:rPr>
          <w:rFonts w:eastAsia="Arial"/>
          <w:sz w:val="20"/>
        </w:rPr>
        <w:t xml:space="preserve"> 90(4): 643–665.</w:t>
      </w:r>
    </w:p>
    <w:p w14:paraId="0E814607" w14:textId="34836BFA" w:rsidR="00137F8E" w:rsidRPr="005A4C7D" w:rsidRDefault="00137F8E" w:rsidP="00137F8E">
      <w:pPr>
        <w:ind w:left="567" w:hanging="567"/>
        <w:jc w:val="both"/>
        <w:rPr>
          <w:rFonts w:eastAsia="Arial"/>
          <w:sz w:val="20"/>
        </w:rPr>
      </w:pPr>
      <w:r w:rsidRPr="005A4C7D">
        <w:rPr>
          <w:rFonts w:eastAsia="Arial"/>
          <w:sz w:val="20"/>
        </w:rPr>
        <w:t xml:space="preserve">Royston, P., and W. Sauerbrei. 2007. </w:t>
      </w:r>
      <w:r w:rsidRPr="005A4C7D">
        <w:rPr>
          <w:rFonts w:eastAsia="Arial"/>
          <w:i/>
          <w:sz w:val="20"/>
        </w:rPr>
        <w:t>The Use of Fractional Polynomials in Multivariable Regression Modelling.</w:t>
      </w:r>
      <w:r w:rsidRPr="005A4C7D">
        <w:rPr>
          <w:rFonts w:eastAsia="Arial"/>
          <w:sz w:val="20"/>
        </w:rPr>
        <w:t xml:space="preserve"> Presentation: Heidelberg, Germany</w:t>
      </w:r>
      <w:r w:rsidR="0081742D">
        <w:rPr>
          <w:rFonts w:eastAsia="Arial"/>
          <w:sz w:val="20"/>
        </w:rPr>
        <w:t xml:space="preserve">. </w:t>
      </w:r>
      <w:r w:rsidRPr="005A4C7D">
        <w:rPr>
          <w:rFonts w:eastAsia="Arial"/>
          <w:sz w:val="20"/>
        </w:rPr>
        <w:t>Accessed 17 December 2020.: http://www.biometrie.uni-heidelberg.de/statmeth-ag/veranstaltungen/magdeburg07/talks/sauerbrei.pdf</w:t>
      </w:r>
    </w:p>
    <w:p w14:paraId="10682DB9" w14:textId="77777777" w:rsidR="00137F8E" w:rsidRPr="005A4C7D" w:rsidRDefault="00137F8E" w:rsidP="00137F8E">
      <w:pPr>
        <w:ind w:left="567" w:hanging="567"/>
        <w:jc w:val="both"/>
        <w:rPr>
          <w:rFonts w:eastAsia="Arial"/>
          <w:sz w:val="20"/>
        </w:rPr>
      </w:pPr>
      <w:r w:rsidRPr="005A4C7D">
        <w:rPr>
          <w:rFonts w:eastAsia="Arial"/>
          <w:sz w:val="20"/>
        </w:rPr>
        <w:t xml:space="preserve">Rustiadi, E., S. Saefulhakim, and D. R. Panuju. 2018. </w:t>
      </w:r>
      <w:r w:rsidRPr="005A4C7D">
        <w:rPr>
          <w:rFonts w:eastAsia="Arial"/>
          <w:i/>
          <w:sz w:val="20"/>
        </w:rPr>
        <w:t>Perencanaan Dan Pengembangan Wilayah.</w:t>
      </w:r>
      <w:r w:rsidRPr="005A4C7D">
        <w:rPr>
          <w:rFonts w:eastAsia="Arial"/>
          <w:sz w:val="20"/>
        </w:rPr>
        <w:t xml:space="preserve"> Jakarta, Indonesia: Yayasan Pustaka Obor Indonesia.</w:t>
      </w:r>
    </w:p>
    <w:p w14:paraId="07AEC802" w14:textId="688C3BFB" w:rsidR="00137F8E" w:rsidRPr="005A4C7D" w:rsidRDefault="00137F8E" w:rsidP="00137F8E">
      <w:pPr>
        <w:ind w:left="567" w:hanging="567"/>
        <w:jc w:val="both"/>
        <w:rPr>
          <w:rFonts w:eastAsia="Arial"/>
          <w:i/>
          <w:color w:val="202122"/>
          <w:sz w:val="20"/>
          <w:highlight w:val="white"/>
        </w:rPr>
      </w:pPr>
      <w:r w:rsidRPr="005A4C7D">
        <w:rPr>
          <w:rFonts w:eastAsia="Arial"/>
          <w:sz w:val="20"/>
        </w:rPr>
        <w:t xml:space="preserve">Shorto, R. 2013. </w:t>
      </w:r>
      <w:r w:rsidRPr="005A4C7D">
        <w:rPr>
          <w:rFonts w:eastAsia="Arial"/>
          <w:i/>
          <w:sz w:val="20"/>
        </w:rPr>
        <w:t>Amsterdam: A History of the World</w:t>
      </w:r>
      <w:r w:rsidR="00B5685E" w:rsidRPr="005A4C7D">
        <w:rPr>
          <w:rFonts w:eastAsia="Arial"/>
          <w:i/>
          <w:sz w:val="20"/>
        </w:rPr>
        <w:t>’</w:t>
      </w:r>
      <w:r w:rsidRPr="005A4C7D">
        <w:rPr>
          <w:rFonts w:eastAsia="Arial"/>
          <w:i/>
          <w:sz w:val="20"/>
        </w:rPr>
        <w:t>s Most Liberal City</w:t>
      </w:r>
      <w:r w:rsidRPr="005A4C7D">
        <w:rPr>
          <w:rFonts w:eastAsia="Arial"/>
          <w:sz w:val="20"/>
        </w:rPr>
        <w:t>. Doubleday</w:t>
      </w:r>
    </w:p>
    <w:p w14:paraId="573BB83C" w14:textId="1861A82F" w:rsidR="00137F8E" w:rsidRPr="005A4C7D" w:rsidRDefault="00137F8E" w:rsidP="00137F8E">
      <w:pPr>
        <w:ind w:left="567" w:hanging="567"/>
        <w:jc w:val="both"/>
        <w:rPr>
          <w:rFonts w:eastAsia="Arial"/>
          <w:sz w:val="20"/>
        </w:rPr>
      </w:pPr>
      <w:r w:rsidRPr="005A4C7D">
        <w:rPr>
          <w:rFonts w:eastAsia="Arial"/>
          <w:sz w:val="20"/>
        </w:rPr>
        <w:t>Sogge, D. 2017. Foreign Aid: Inconvenient Truths. Sinergias – diálogos educativos para a transformação social, junho 2017</w:t>
      </w:r>
      <w:r w:rsidR="00E97817">
        <w:rPr>
          <w:rFonts w:eastAsia="Arial"/>
          <w:sz w:val="20"/>
          <w:lang w:val="en-US"/>
        </w:rPr>
        <w:t xml:space="preserve">, </w:t>
      </w:r>
      <w:r w:rsidRPr="005A4C7D">
        <w:rPr>
          <w:rFonts w:eastAsia="Arial"/>
          <w:sz w:val="20"/>
        </w:rPr>
        <w:t>No.5.</w:t>
      </w:r>
    </w:p>
    <w:p w14:paraId="2917C8E3" w14:textId="08F169CA" w:rsidR="00137F8E" w:rsidRPr="005A4C7D" w:rsidRDefault="00137F8E" w:rsidP="00137F8E">
      <w:pPr>
        <w:ind w:left="567" w:hanging="567"/>
        <w:jc w:val="both"/>
        <w:rPr>
          <w:rFonts w:eastAsia="Arial"/>
          <w:sz w:val="20"/>
        </w:rPr>
      </w:pPr>
      <w:r w:rsidRPr="005A4C7D">
        <w:rPr>
          <w:rFonts w:eastAsia="Arial"/>
          <w:sz w:val="20"/>
        </w:rPr>
        <w:t xml:space="preserve">The Fed. 2020. </w:t>
      </w:r>
      <w:r w:rsidRPr="005A4C7D">
        <w:rPr>
          <w:rFonts w:eastAsia="Arial"/>
          <w:i/>
          <w:sz w:val="20"/>
        </w:rPr>
        <w:t>Reserve Requirements.</w:t>
      </w:r>
      <w:r w:rsidRPr="005A4C7D">
        <w:rPr>
          <w:rFonts w:eastAsia="Arial"/>
          <w:sz w:val="20"/>
        </w:rPr>
        <w:t xml:space="preserve"> The U.S. Federal Reserve</w:t>
      </w:r>
      <w:r w:rsidR="0081742D">
        <w:rPr>
          <w:rFonts w:eastAsia="Arial"/>
          <w:sz w:val="20"/>
          <w:lang w:val="en-US"/>
        </w:rPr>
        <w:t xml:space="preserve">. </w:t>
      </w:r>
      <w:r w:rsidRPr="005A4C7D">
        <w:rPr>
          <w:rFonts w:eastAsia="Arial"/>
          <w:sz w:val="20"/>
        </w:rPr>
        <w:t>Accessed 17 December 2020. https://www.federalreserve.gov/monetarypolicy/reservereq.htm</w:t>
      </w:r>
    </w:p>
    <w:p w14:paraId="1082864F" w14:textId="6FF8461F" w:rsidR="00137F8E" w:rsidRPr="005A4C7D" w:rsidRDefault="00137F8E" w:rsidP="00137F8E">
      <w:pPr>
        <w:ind w:left="567" w:hanging="567"/>
        <w:jc w:val="both"/>
        <w:rPr>
          <w:rFonts w:eastAsia="Arial"/>
          <w:sz w:val="20"/>
        </w:rPr>
      </w:pPr>
      <w:r w:rsidRPr="005A4C7D">
        <w:rPr>
          <w:rFonts w:eastAsia="Arial"/>
          <w:sz w:val="20"/>
        </w:rPr>
        <w:t>United Nations (UN). 2012.</w:t>
      </w:r>
      <w:r w:rsidRPr="005A4C7D">
        <w:rPr>
          <w:rFonts w:eastAsia="Arial"/>
          <w:i/>
          <w:sz w:val="20"/>
        </w:rPr>
        <w:t xml:space="preserve"> Macroeconomic stability, inclusive growth, and employment.</w:t>
      </w:r>
      <w:r w:rsidRPr="005A4C7D">
        <w:rPr>
          <w:rFonts w:eastAsia="Arial"/>
          <w:sz w:val="20"/>
        </w:rPr>
        <w:t xml:space="preserve"> Thematic Think Piece. ILO, UNCTAD, UNDESA, WTO. UN System Task Team on the post-2015 UN development agenda</w:t>
      </w:r>
      <w:r w:rsidR="0081742D">
        <w:rPr>
          <w:rFonts w:eastAsia="Arial"/>
          <w:sz w:val="20"/>
        </w:rPr>
        <w:t xml:space="preserve">. </w:t>
      </w:r>
    </w:p>
    <w:p w14:paraId="7A673001" w14:textId="7A16626D" w:rsidR="00137F8E" w:rsidRPr="005A4C7D" w:rsidRDefault="00137F8E" w:rsidP="00137F8E">
      <w:pPr>
        <w:ind w:left="567" w:hanging="567"/>
        <w:jc w:val="both"/>
        <w:rPr>
          <w:rFonts w:eastAsia="Arial"/>
          <w:sz w:val="20"/>
        </w:rPr>
      </w:pPr>
      <w:r w:rsidRPr="005A4C7D">
        <w:rPr>
          <w:rFonts w:eastAsia="Arial"/>
          <w:sz w:val="20"/>
        </w:rPr>
        <w:t xml:space="preserve">U.S. Congress. 1968a &amp; 1968b. </w:t>
      </w:r>
      <w:r w:rsidRPr="005A4C7D">
        <w:rPr>
          <w:rFonts w:eastAsia="Arial"/>
          <w:i/>
          <w:sz w:val="20"/>
        </w:rPr>
        <w:t>Appropriation for 1969. House of Representatives</w:t>
      </w:r>
      <w:r w:rsidR="0081742D">
        <w:rPr>
          <w:rFonts w:eastAsia="Arial"/>
          <w:sz w:val="20"/>
        </w:rPr>
        <w:t xml:space="preserve">. </w:t>
      </w:r>
      <w:r w:rsidRPr="005A4C7D">
        <w:rPr>
          <w:rFonts w:eastAsia="Arial"/>
          <w:sz w:val="20"/>
        </w:rPr>
        <w:t xml:space="preserve">9th Congress, Second Session, Part 1 (94-105), pp.264-324 and Part 2 (94-955)-Economic Assistance, pp.25-39. </w:t>
      </w:r>
    </w:p>
    <w:p w14:paraId="63A9961D" w14:textId="77777777" w:rsidR="00137F8E" w:rsidRPr="005A4C7D" w:rsidRDefault="00137F8E" w:rsidP="00137F8E">
      <w:pPr>
        <w:ind w:left="567" w:hanging="567"/>
        <w:jc w:val="both"/>
        <w:rPr>
          <w:rFonts w:eastAsia="Arial"/>
          <w:sz w:val="20"/>
        </w:rPr>
      </w:pPr>
      <w:r w:rsidRPr="005A4C7D">
        <w:rPr>
          <w:rFonts w:eastAsia="Arial"/>
          <w:sz w:val="20"/>
        </w:rPr>
        <w:t xml:space="preserve">Werner, R. A. 2014. Can banks individually create money out of nothing? The theories and empirical evidence. </w:t>
      </w:r>
      <w:r w:rsidRPr="005A4C7D">
        <w:rPr>
          <w:rFonts w:eastAsia="Arial"/>
          <w:i/>
          <w:sz w:val="20"/>
        </w:rPr>
        <w:t>International Review of Financial Analysis</w:t>
      </w:r>
      <w:r w:rsidRPr="005A4C7D">
        <w:rPr>
          <w:rFonts w:eastAsia="Arial"/>
          <w:sz w:val="20"/>
        </w:rPr>
        <w:t>, 36, pp.1-19</w:t>
      </w:r>
    </w:p>
    <w:p w14:paraId="7BF0CB32" w14:textId="4E8C86BC" w:rsidR="00137F8E" w:rsidRPr="005A4C7D" w:rsidRDefault="00137F8E" w:rsidP="00137F8E">
      <w:pPr>
        <w:ind w:left="567" w:hanging="567"/>
        <w:jc w:val="both"/>
        <w:rPr>
          <w:rFonts w:eastAsia="Arial"/>
          <w:sz w:val="20"/>
        </w:rPr>
      </w:pPr>
      <w:r w:rsidRPr="005A4C7D">
        <w:rPr>
          <w:rFonts w:eastAsia="Arial"/>
          <w:sz w:val="20"/>
        </w:rPr>
        <w:t>Werner, R. A. 2016. A lost century in economics: Three theories of banking and the conclusive evidence</w:t>
      </w:r>
      <w:r w:rsidR="0081742D">
        <w:rPr>
          <w:rFonts w:eastAsia="Arial"/>
          <w:sz w:val="20"/>
        </w:rPr>
        <w:t xml:space="preserve">. </w:t>
      </w:r>
      <w:r w:rsidRPr="005A4C7D">
        <w:rPr>
          <w:rFonts w:eastAsia="Arial"/>
          <w:i/>
          <w:sz w:val="20"/>
        </w:rPr>
        <w:t>International Review of Financial Analysis</w:t>
      </w:r>
      <w:r w:rsidRPr="005A4C7D">
        <w:rPr>
          <w:rFonts w:eastAsia="Arial"/>
          <w:sz w:val="20"/>
        </w:rPr>
        <w:t>, 46, pp.361-379.</w:t>
      </w:r>
    </w:p>
    <w:p w14:paraId="5FB0363F" w14:textId="763D0795" w:rsidR="00137F8E" w:rsidRPr="005A4C7D" w:rsidRDefault="00137F8E" w:rsidP="00137F8E">
      <w:pPr>
        <w:ind w:left="567" w:hanging="567"/>
        <w:jc w:val="both"/>
        <w:rPr>
          <w:rFonts w:eastAsia="Arial"/>
          <w:sz w:val="20"/>
        </w:rPr>
      </w:pPr>
      <w:r w:rsidRPr="005A4C7D">
        <w:rPr>
          <w:rFonts w:eastAsia="Arial"/>
          <w:sz w:val="20"/>
        </w:rPr>
        <w:t xml:space="preserve">Witular, R. A. 2016. Asian Development Bank to reform project delivery, cut delays. </w:t>
      </w:r>
      <w:r w:rsidRPr="005A4C7D">
        <w:rPr>
          <w:rFonts w:eastAsia="Arial"/>
          <w:i/>
          <w:sz w:val="20"/>
        </w:rPr>
        <w:t>The Jakarta Post</w:t>
      </w:r>
      <w:r w:rsidRPr="005A4C7D">
        <w:rPr>
          <w:rFonts w:eastAsia="Arial"/>
          <w:sz w:val="20"/>
        </w:rPr>
        <w:t xml:space="preserve"> (Fri, May 6, 2016)</w:t>
      </w:r>
      <w:r w:rsidR="0081742D">
        <w:rPr>
          <w:rFonts w:eastAsia="Arial"/>
          <w:sz w:val="20"/>
        </w:rPr>
        <w:t xml:space="preserve">. </w:t>
      </w:r>
      <w:r w:rsidRPr="005A4C7D">
        <w:rPr>
          <w:rFonts w:eastAsia="Arial"/>
          <w:sz w:val="20"/>
        </w:rPr>
        <w:t>Accessed 17 December 2020. https://www.thejakartapost.com/news/2016/05/06/asian-development-bank-to-reform-project-delivery-cut-delays.html.</w:t>
      </w:r>
    </w:p>
    <w:p w14:paraId="061DFD1C" w14:textId="4EC52A25" w:rsidR="00137F8E" w:rsidRPr="005A4C7D" w:rsidRDefault="00137F8E" w:rsidP="00137F8E">
      <w:pPr>
        <w:ind w:left="567" w:hanging="567"/>
        <w:jc w:val="both"/>
        <w:rPr>
          <w:rFonts w:eastAsia="Arial"/>
          <w:sz w:val="20"/>
        </w:rPr>
      </w:pPr>
      <w:r w:rsidRPr="005A4C7D">
        <w:rPr>
          <w:rFonts w:eastAsia="Arial"/>
          <w:sz w:val="20"/>
        </w:rPr>
        <w:t>Zezza, G. 2011. Godley and Graziani: Stock-Flow-Consistent Monetary Circuits</w:t>
      </w:r>
      <w:r w:rsidR="0081742D">
        <w:rPr>
          <w:rFonts w:eastAsia="Arial"/>
          <w:sz w:val="20"/>
        </w:rPr>
        <w:t xml:space="preserve">. </w:t>
      </w:r>
      <w:r w:rsidRPr="005A4C7D">
        <w:rPr>
          <w:rFonts w:eastAsia="Arial"/>
          <w:i/>
          <w:sz w:val="20"/>
        </w:rPr>
        <w:t>Levy Economics Institute</w:t>
      </w:r>
      <w:r w:rsidRPr="005A4C7D">
        <w:rPr>
          <w:rFonts w:eastAsia="Arial"/>
          <w:sz w:val="20"/>
        </w:rPr>
        <w:t>.</w:t>
      </w:r>
    </w:p>
    <w:p w14:paraId="4783D611" w14:textId="77777777" w:rsidR="00137F8E" w:rsidRPr="005A4C7D" w:rsidRDefault="00137F8E" w:rsidP="00137F8E"/>
    <w:p w14:paraId="15CF8FB1" w14:textId="77777777" w:rsidR="00D507DE" w:rsidRPr="005A4C7D" w:rsidRDefault="00D507DE" w:rsidP="00D507DE">
      <w:pPr>
        <w:shd w:val="clear" w:color="auto" w:fill="FFFFFF"/>
        <w:jc w:val="center"/>
      </w:pPr>
      <w:r w:rsidRPr="005A4C7D">
        <w:rPr>
          <w:noProof/>
        </w:rPr>
        <w:drawing>
          <wp:inline distT="0" distB="0" distL="0" distR="0" wp14:anchorId="3F018D60" wp14:editId="39996CB9">
            <wp:extent cx="4864100" cy="2400300"/>
            <wp:effectExtent l="0" t="0" r="0" b="0"/>
            <wp:docPr id="3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4100" cy="2400300"/>
                    </a:xfrm>
                    <a:prstGeom prst="rect">
                      <a:avLst/>
                    </a:prstGeom>
                    <a:solidFill>
                      <a:srgbClr val="FFFFFF"/>
                    </a:solidFill>
                    <a:ln>
                      <a:noFill/>
                    </a:ln>
                  </pic:spPr>
                </pic:pic>
              </a:graphicData>
            </a:graphic>
          </wp:inline>
        </w:drawing>
      </w:r>
    </w:p>
    <w:p w14:paraId="56C83026" w14:textId="77777777" w:rsidR="00D507DE" w:rsidRPr="005A4C7D" w:rsidRDefault="00D507DE" w:rsidP="00D507DE">
      <w:pPr>
        <w:pStyle w:val="SAP-Paragraph"/>
        <w:spacing w:line="240" w:lineRule="auto"/>
        <w:ind w:firstLine="0"/>
        <w:jc w:val="center"/>
        <w:rPr>
          <w:i/>
          <w:sz w:val="24"/>
        </w:rPr>
      </w:pPr>
      <w:r w:rsidRPr="005A4C7D">
        <w:rPr>
          <w:sz w:val="24"/>
        </w:rPr>
        <w:t>Figure-1: Loan Disbursements Comparison, Commercial Banks vs ADB</w:t>
      </w:r>
    </w:p>
    <w:p w14:paraId="58EBFA25" w14:textId="77777777" w:rsidR="00D507DE" w:rsidRPr="005A4C7D" w:rsidRDefault="00D507DE" w:rsidP="00D507DE"/>
    <w:p w14:paraId="6FE83D32" w14:textId="583115EF" w:rsidR="00742A43" w:rsidRPr="005A4C7D" w:rsidRDefault="00742A43">
      <w:pPr>
        <w:spacing w:after="160" w:line="259" w:lineRule="auto"/>
      </w:pPr>
      <w:r w:rsidRPr="005A4C7D">
        <w:lastRenderedPageBreak/>
        <w:br w:type="page"/>
      </w:r>
    </w:p>
    <w:p w14:paraId="6E2362AA" w14:textId="77777777" w:rsidR="00D507DE" w:rsidRPr="005A4C7D" w:rsidRDefault="00D507DE" w:rsidP="00D507DE"/>
    <w:p w14:paraId="3B80AC9D" w14:textId="77777777" w:rsidR="00D507DE" w:rsidRPr="005A4C7D" w:rsidRDefault="00D507DE" w:rsidP="00D507DE">
      <w:pPr>
        <w:pStyle w:val="SAP-Paragraph"/>
        <w:spacing w:line="240" w:lineRule="auto"/>
        <w:ind w:firstLine="0"/>
        <w:jc w:val="center"/>
        <w:rPr>
          <w:sz w:val="24"/>
        </w:rPr>
      </w:pPr>
      <w:r w:rsidRPr="005A4C7D">
        <w:rPr>
          <w:noProof/>
        </w:rPr>
        <w:drawing>
          <wp:inline distT="0" distB="0" distL="0" distR="0" wp14:anchorId="4DECCEAC" wp14:editId="10C171AE">
            <wp:extent cx="4845050" cy="2146300"/>
            <wp:effectExtent l="0" t="0" r="0" b="0"/>
            <wp:docPr id="3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45050" cy="2146300"/>
                    </a:xfrm>
                    <a:prstGeom prst="rect">
                      <a:avLst/>
                    </a:prstGeom>
                    <a:solidFill>
                      <a:srgbClr val="FFFFFF"/>
                    </a:solidFill>
                    <a:ln>
                      <a:noFill/>
                    </a:ln>
                  </pic:spPr>
                </pic:pic>
              </a:graphicData>
            </a:graphic>
          </wp:inline>
        </w:drawing>
      </w:r>
    </w:p>
    <w:p w14:paraId="526AC9D7" w14:textId="0B0AB4CB" w:rsidR="00D507DE" w:rsidRPr="005A4C7D" w:rsidRDefault="00D507DE" w:rsidP="00D507DE">
      <w:pPr>
        <w:pStyle w:val="SAP-Paragraph"/>
        <w:spacing w:line="240" w:lineRule="auto"/>
        <w:ind w:firstLine="0"/>
        <w:jc w:val="center"/>
        <w:rPr>
          <w:sz w:val="24"/>
          <w:lang w:val="en-US"/>
        </w:rPr>
      </w:pPr>
      <w:r w:rsidRPr="005A4C7D">
        <w:rPr>
          <w:sz w:val="24"/>
        </w:rPr>
        <w:t>Figure-2: Indonesia</w:t>
      </w:r>
      <w:r w:rsidR="005A4C7D">
        <w:rPr>
          <w:sz w:val="24"/>
          <w:lang w:val="en-US"/>
        </w:rPr>
        <w:t>-</w:t>
      </w:r>
      <w:r w:rsidRPr="005A4C7D">
        <w:rPr>
          <w:sz w:val="24"/>
        </w:rPr>
        <w:t>ADB Loans ‘First Disbursement</w:t>
      </w:r>
      <w:r w:rsidRPr="005A4C7D">
        <w:rPr>
          <w:sz w:val="24"/>
          <w:lang w:val="en-US"/>
        </w:rPr>
        <w:t>’</w:t>
      </w:r>
    </w:p>
    <w:p w14:paraId="65CE2FE5" w14:textId="0445E779" w:rsidR="00742A43" w:rsidRPr="005A4C7D" w:rsidRDefault="00742A43">
      <w:pPr>
        <w:spacing w:after="160" w:line="259" w:lineRule="auto"/>
      </w:pPr>
      <w:r w:rsidRPr="005A4C7D">
        <w:br w:type="page"/>
      </w:r>
    </w:p>
    <w:p w14:paraId="08CDBF50" w14:textId="77777777" w:rsidR="00D507DE" w:rsidRPr="005A4C7D" w:rsidRDefault="00D507DE" w:rsidP="00D507DE"/>
    <w:p w14:paraId="32104886" w14:textId="77777777" w:rsidR="00D507DE" w:rsidRPr="005A4C7D" w:rsidRDefault="00D507DE" w:rsidP="00D507DE">
      <w:pPr>
        <w:jc w:val="both"/>
      </w:pPr>
      <w:r w:rsidRPr="005A4C7D">
        <w:rPr>
          <w:noProof/>
        </w:rPr>
        <w:drawing>
          <wp:inline distT="0" distB="0" distL="0" distR="0" wp14:anchorId="6832E7D7" wp14:editId="03F515D3">
            <wp:extent cx="5734050" cy="2108200"/>
            <wp:effectExtent l="0" t="0" r="0" b="0"/>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4050" cy="2108200"/>
                    </a:xfrm>
                    <a:prstGeom prst="rect">
                      <a:avLst/>
                    </a:prstGeom>
                    <a:solidFill>
                      <a:srgbClr val="FFFFFF"/>
                    </a:solidFill>
                    <a:ln>
                      <a:noFill/>
                    </a:ln>
                  </pic:spPr>
                </pic:pic>
              </a:graphicData>
            </a:graphic>
          </wp:inline>
        </w:drawing>
      </w:r>
    </w:p>
    <w:p w14:paraId="35BAF879" w14:textId="77777777" w:rsidR="00D507DE" w:rsidRPr="005A4C7D" w:rsidRDefault="00D507DE" w:rsidP="00D507DE">
      <w:pPr>
        <w:jc w:val="both"/>
        <w:rPr>
          <w:i/>
          <w:sz w:val="18"/>
        </w:rPr>
      </w:pPr>
      <w:r w:rsidRPr="005A4C7D">
        <w:rPr>
          <w:i/>
          <w:sz w:val="18"/>
        </w:rPr>
        <w:t>Note: LF = Loanable Fund and FRB = Fractional Reserve Banking. Source: Fauzi and Ingratubun (2020)</w:t>
      </w:r>
    </w:p>
    <w:p w14:paraId="60DB11D9" w14:textId="77777777" w:rsidR="00D507DE" w:rsidRPr="005A4C7D" w:rsidRDefault="00D507DE" w:rsidP="005A4C7D">
      <w:r w:rsidRPr="005A4C7D">
        <w:t>Figure-3: ADB Loans disbursement delay and interests impacts on Indonesia’s growth</w:t>
      </w:r>
    </w:p>
    <w:p w14:paraId="4F488E25" w14:textId="0B77D7BC" w:rsidR="00742A43" w:rsidRPr="005A4C7D" w:rsidRDefault="00742A43">
      <w:pPr>
        <w:spacing w:after="160" w:line="259" w:lineRule="auto"/>
      </w:pPr>
      <w:r w:rsidRPr="005A4C7D">
        <w:br w:type="page"/>
      </w:r>
    </w:p>
    <w:p w14:paraId="0F9BED10" w14:textId="77777777" w:rsidR="00D507DE" w:rsidRPr="005A4C7D" w:rsidRDefault="00D507DE" w:rsidP="00D507DE"/>
    <w:p w14:paraId="2D81F2E4" w14:textId="77777777" w:rsidR="00D507DE" w:rsidRPr="005A4C7D" w:rsidRDefault="00D507DE" w:rsidP="00D507DE">
      <w:pPr>
        <w:jc w:val="both"/>
        <w:rPr>
          <w:sz w:val="8"/>
        </w:rPr>
      </w:pPr>
      <w:r w:rsidRPr="005A4C7D">
        <w:rPr>
          <w:noProof/>
        </w:rPr>
        <w:drawing>
          <wp:inline distT="0" distB="0" distL="0" distR="0" wp14:anchorId="6C52F6A6" wp14:editId="45CD2495">
            <wp:extent cx="5880100" cy="1282700"/>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80100" cy="1282700"/>
                    </a:xfrm>
                    <a:prstGeom prst="rect">
                      <a:avLst/>
                    </a:prstGeom>
                    <a:solidFill>
                      <a:srgbClr val="FFFFFF"/>
                    </a:solidFill>
                    <a:ln>
                      <a:noFill/>
                    </a:ln>
                  </pic:spPr>
                </pic:pic>
              </a:graphicData>
            </a:graphic>
          </wp:inline>
        </w:drawing>
      </w:r>
    </w:p>
    <w:p w14:paraId="6D4FD94F" w14:textId="77777777" w:rsidR="00D507DE" w:rsidRPr="005A4C7D" w:rsidRDefault="00D507DE" w:rsidP="00D507DE">
      <w:pPr>
        <w:pStyle w:val="SAP-Paragraph"/>
        <w:spacing w:line="240" w:lineRule="auto"/>
        <w:ind w:firstLine="0"/>
        <w:jc w:val="center"/>
        <w:rPr>
          <w:sz w:val="24"/>
        </w:rPr>
      </w:pPr>
      <w:r w:rsidRPr="005A4C7D">
        <w:rPr>
          <w:sz w:val="24"/>
        </w:rPr>
        <w:t>Figure-4: Basic Mechanics of the attribution methodology (DOA-BOGOR)</w:t>
      </w:r>
    </w:p>
    <w:p w14:paraId="2B50ACA7" w14:textId="3E53A4F7" w:rsidR="00D507DE" w:rsidRPr="005A4C7D" w:rsidRDefault="00D507DE" w:rsidP="00D507DE"/>
    <w:p w14:paraId="29EC6163" w14:textId="6C60DBA5" w:rsidR="00742A43" w:rsidRPr="005A4C7D" w:rsidRDefault="00742A43">
      <w:pPr>
        <w:spacing w:after="160" w:line="259" w:lineRule="auto"/>
      </w:pPr>
      <w:r w:rsidRPr="005A4C7D">
        <w:br w:type="page"/>
      </w:r>
    </w:p>
    <w:p w14:paraId="5AD72A1F" w14:textId="77777777" w:rsidR="00742A43" w:rsidRPr="005A4C7D" w:rsidRDefault="00742A43" w:rsidP="00D507DE"/>
    <w:p w14:paraId="50FC4D5F" w14:textId="77777777" w:rsidR="00D507DE" w:rsidRPr="005A4C7D" w:rsidRDefault="00D507DE" w:rsidP="00D507DE">
      <w:pPr>
        <w:jc w:val="center"/>
      </w:pPr>
      <w:r w:rsidRPr="005A4C7D">
        <w:rPr>
          <w:noProof/>
        </w:rPr>
        <w:drawing>
          <wp:inline distT="0" distB="0" distL="0" distR="0" wp14:anchorId="6A013FB8" wp14:editId="4CF65CA5">
            <wp:extent cx="4641850" cy="3917950"/>
            <wp:effectExtent l="0" t="0" r="0" b="0"/>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41850" cy="3917950"/>
                    </a:xfrm>
                    <a:prstGeom prst="rect">
                      <a:avLst/>
                    </a:prstGeom>
                    <a:solidFill>
                      <a:srgbClr val="FFFFFF"/>
                    </a:solidFill>
                    <a:ln>
                      <a:noFill/>
                    </a:ln>
                  </pic:spPr>
                </pic:pic>
              </a:graphicData>
            </a:graphic>
          </wp:inline>
        </w:drawing>
      </w:r>
    </w:p>
    <w:p w14:paraId="7A311305" w14:textId="2369BFC7" w:rsidR="00D507DE" w:rsidRPr="005A4C7D" w:rsidRDefault="00D507DE" w:rsidP="00D507DE">
      <w:pPr>
        <w:spacing w:after="160" w:line="259" w:lineRule="auto"/>
        <w:jc w:val="center"/>
      </w:pPr>
      <w:r w:rsidRPr="005A4C7D">
        <w:t>Figure-5: Indonesia Unemployment vs ADB Loans Relationship</w:t>
      </w:r>
    </w:p>
    <w:p w14:paraId="2AEEEF84" w14:textId="2B67539A" w:rsidR="00742A43" w:rsidRPr="005A4C7D" w:rsidRDefault="00742A43" w:rsidP="00D507DE">
      <w:pPr>
        <w:spacing w:after="160" w:line="259" w:lineRule="auto"/>
        <w:jc w:val="center"/>
      </w:pPr>
    </w:p>
    <w:p w14:paraId="35FEFAB6" w14:textId="11E4E1B3" w:rsidR="00742A43" w:rsidRPr="005A4C7D" w:rsidRDefault="00742A43">
      <w:pPr>
        <w:spacing w:after="160" w:line="259" w:lineRule="auto"/>
      </w:pPr>
      <w:r w:rsidRPr="005A4C7D">
        <w:br w:type="page"/>
      </w:r>
    </w:p>
    <w:p w14:paraId="14B351BE" w14:textId="77777777" w:rsidR="00742A43" w:rsidRPr="005A4C7D" w:rsidRDefault="00742A43" w:rsidP="00D507DE">
      <w:pPr>
        <w:spacing w:after="160" w:line="259" w:lineRule="auto"/>
        <w:jc w:val="center"/>
      </w:pPr>
    </w:p>
    <w:p w14:paraId="0DED122B" w14:textId="27F9F01F" w:rsidR="00D507DE" w:rsidRPr="005A4C7D" w:rsidRDefault="00D507DE" w:rsidP="00D507DE"/>
    <w:p w14:paraId="3A7DA3DD" w14:textId="77777777" w:rsidR="006E072D" w:rsidRPr="005A4C7D" w:rsidRDefault="006E072D" w:rsidP="00D507DE"/>
    <w:p w14:paraId="5ADEB025" w14:textId="7A0A178D" w:rsidR="00D507DE" w:rsidRPr="005A4C7D" w:rsidRDefault="006E072D" w:rsidP="00D507DE">
      <w:r w:rsidRPr="005A4C7D">
        <w:rPr>
          <w:noProof/>
        </w:rPr>
        <w:drawing>
          <wp:inline distT="0" distB="0" distL="0" distR="0" wp14:anchorId="210A9E91" wp14:editId="0013289F">
            <wp:extent cx="5683662" cy="261997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95143" cy="2625268"/>
                    </a:xfrm>
                    <a:prstGeom prst="rect">
                      <a:avLst/>
                    </a:prstGeom>
                    <a:noFill/>
                  </pic:spPr>
                </pic:pic>
              </a:graphicData>
            </a:graphic>
          </wp:inline>
        </w:drawing>
      </w:r>
    </w:p>
    <w:p w14:paraId="75058457" w14:textId="77777777" w:rsidR="006E072D" w:rsidRPr="005A4C7D" w:rsidRDefault="006E072D" w:rsidP="006E072D">
      <w:pPr>
        <w:pStyle w:val="SAP-Paragraph"/>
        <w:spacing w:line="240" w:lineRule="auto"/>
        <w:ind w:firstLine="0"/>
        <w:jc w:val="left"/>
        <w:rPr>
          <w:i/>
          <w:sz w:val="16"/>
        </w:rPr>
      </w:pPr>
      <w:r w:rsidRPr="005A4C7D">
        <w:rPr>
          <w:i/>
          <w:sz w:val="16"/>
        </w:rPr>
        <w:t>Source: Processed.</w:t>
      </w:r>
    </w:p>
    <w:p w14:paraId="6FB2FEB4" w14:textId="77777777" w:rsidR="006E072D" w:rsidRPr="005A4C7D" w:rsidRDefault="006E072D" w:rsidP="006E072D">
      <w:pPr>
        <w:pStyle w:val="SAP-Paragraph"/>
        <w:spacing w:line="240" w:lineRule="auto"/>
        <w:ind w:firstLine="0"/>
        <w:jc w:val="center"/>
        <w:rPr>
          <w:i/>
          <w:sz w:val="24"/>
        </w:rPr>
      </w:pPr>
      <w:r w:rsidRPr="005A4C7D">
        <w:rPr>
          <w:sz w:val="24"/>
        </w:rPr>
        <w:t>Figure-6: Unemployment attributor vs delays</w:t>
      </w:r>
    </w:p>
    <w:p w14:paraId="70367A7A" w14:textId="01041D85" w:rsidR="006E072D" w:rsidRPr="005A4C7D" w:rsidRDefault="006E072D">
      <w:pPr>
        <w:spacing w:after="160" w:line="259" w:lineRule="auto"/>
      </w:pPr>
      <w:r w:rsidRPr="005A4C7D">
        <w:br w:type="page"/>
      </w:r>
    </w:p>
    <w:p w14:paraId="2FB0B192" w14:textId="566FF4D6" w:rsidR="006E072D" w:rsidRPr="005A4C7D" w:rsidRDefault="006E072D" w:rsidP="006E072D">
      <w:pPr>
        <w:tabs>
          <w:tab w:val="left" w:pos="3969"/>
        </w:tabs>
        <w:spacing w:after="160" w:line="259" w:lineRule="auto"/>
      </w:pPr>
      <w:r w:rsidRPr="005A4C7D">
        <w:lastRenderedPageBreak/>
        <w:tab/>
      </w:r>
      <w:r w:rsidRPr="005A4C7D">
        <w:rPr>
          <w:noProof/>
        </w:rPr>
        <w:drawing>
          <wp:inline distT="0" distB="0" distL="0" distR="0" wp14:anchorId="56AA9528" wp14:editId="2058A13C">
            <wp:extent cx="5715000" cy="2639396"/>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5226" cy="2644119"/>
                    </a:xfrm>
                    <a:prstGeom prst="rect">
                      <a:avLst/>
                    </a:prstGeom>
                    <a:noFill/>
                  </pic:spPr>
                </pic:pic>
              </a:graphicData>
            </a:graphic>
          </wp:inline>
        </w:drawing>
      </w:r>
    </w:p>
    <w:p w14:paraId="6B16532C" w14:textId="77777777" w:rsidR="006E072D" w:rsidRPr="005A4C7D" w:rsidRDefault="006E072D" w:rsidP="006E072D">
      <w:pPr>
        <w:pStyle w:val="SAP-Paragraph"/>
        <w:spacing w:line="240" w:lineRule="auto"/>
        <w:ind w:firstLine="0"/>
        <w:jc w:val="left"/>
        <w:rPr>
          <w:i/>
          <w:sz w:val="16"/>
        </w:rPr>
      </w:pPr>
      <w:r w:rsidRPr="005A4C7D">
        <w:rPr>
          <w:i/>
          <w:sz w:val="16"/>
        </w:rPr>
        <w:t>Source: Processed.</w:t>
      </w:r>
    </w:p>
    <w:p w14:paraId="5281C016" w14:textId="56B2E4A2" w:rsidR="006E072D" w:rsidRPr="005A4C7D" w:rsidRDefault="006E072D" w:rsidP="006E072D">
      <w:pPr>
        <w:pStyle w:val="SAP-Paragraph"/>
        <w:spacing w:line="240" w:lineRule="auto"/>
        <w:ind w:firstLine="0"/>
        <w:jc w:val="center"/>
        <w:rPr>
          <w:i/>
          <w:sz w:val="24"/>
        </w:rPr>
      </w:pPr>
      <w:r w:rsidRPr="005A4C7D">
        <w:rPr>
          <w:sz w:val="24"/>
        </w:rPr>
        <w:t>Figure-7</w:t>
      </w:r>
      <w:r w:rsidRPr="005A4C7D">
        <w:rPr>
          <w:sz w:val="24"/>
          <w:lang w:val="en-US"/>
        </w:rPr>
        <w:t>:</w:t>
      </w:r>
      <w:r w:rsidRPr="005A4C7D">
        <w:rPr>
          <w:sz w:val="24"/>
        </w:rPr>
        <w:t xml:space="preserve"> Unemployment attributor decays rate</w:t>
      </w:r>
    </w:p>
    <w:p w14:paraId="2010A038" w14:textId="77777777" w:rsidR="006E072D" w:rsidRPr="005A4C7D" w:rsidRDefault="006E072D">
      <w:pPr>
        <w:tabs>
          <w:tab w:val="left" w:pos="3969"/>
        </w:tabs>
        <w:spacing w:after="160" w:line="259" w:lineRule="auto"/>
      </w:pPr>
    </w:p>
    <w:p w14:paraId="2C1861F2" w14:textId="2770D2A5" w:rsidR="00D507DE" w:rsidRPr="005A4C7D" w:rsidRDefault="00742A43" w:rsidP="004B228E">
      <w:pPr>
        <w:tabs>
          <w:tab w:val="left" w:pos="3969"/>
        </w:tabs>
        <w:spacing w:after="160" w:line="259" w:lineRule="auto"/>
        <w:rPr>
          <w:color w:val="FF0000"/>
        </w:rPr>
      </w:pPr>
      <w:r w:rsidRPr="005A4C7D">
        <w:br w:type="page"/>
      </w:r>
      <w:r w:rsidR="006E072D" w:rsidRPr="005A4C7D">
        <w:lastRenderedPageBreak/>
        <w:tab/>
      </w:r>
      <w:r w:rsidR="00D507DE" w:rsidRPr="005A4C7D">
        <w:rPr>
          <w:noProof/>
        </w:rPr>
        <w:drawing>
          <wp:inline distT="0" distB="0" distL="0" distR="0" wp14:anchorId="79A2FE76" wp14:editId="7D08FB6F">
            <wp:extent cx="5778500" cy="2184400"/>
            <wp:effectExtent l="0" t="0" r="0" b="0"/>
            <wp:docPr id="44"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preferRelativeResize="0">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8500" cy="2184400"/>
                    </a:xfrm>
                    <a:prstGeom prst="rect">
                      <a:avLst/>
                    </a:prstGeom>
                    <a:solidFill>
                      <a:srgbClr val="FFFFFF"/>
                    </a:solidFill>
                    <a:ln>
                      <a:noFill/>
                    </a:ln>
                  </pic:spPr>
                </pic:pic>
              </a:graphicData>
            </a:graphic>
          </wp:inline>
        </w:drawing>
      </w:r>
    </w:p>
    <w:p w14:paraId="3E7246F9" w14:textId="77777777" w:rsidR="00D507DE" w:rsidRPr="005A4C7D" w:rsidRDefault="00D507DE" w:rsidP="00D507DE">
      <w:pPr>
        <w:pStyle w:val="SAP-Paragraph"/>
        <w:spacing w:line="240" w:lineRule="auto"/>
        <w:ind w:firstLine="0"/>
        <w:rPr>
          <w:i/>
          <w:sz w:val="16"/>
        </w:rPr>
      </w:pPr>
      <w:r w:rsidRPr="005A4C7D">
        <w:rPr>
          <w:i/>
          <w:sz w:val="16"/>
        </w:rPr>
        <w:t>Source: World Bank dataset national estimate (SL.UEM.TOTL.NE.ZS, 2020). Processed with STATA.</w:t>
      </w:r>
    </w:p>
    <w:p w14:paraId="411991ED" w14:textId="77777777" w:rsidR="00D507DE" w:rsidRPr="005A4C7D" w:rsidRDefault="00D507DE" w:rsidP="00D507DE">
      <w:pPr>
        <w:pStyle w:val="SAP-Paragraph"/>
        <w:spacing w:line="240" w:lineRule="auto"/>
        <w:ind w:firstLine="0"/>
        <w:jc w:val="left"/>
        <w:rPr>
          <w:sz w:val="24"/>
        </w:rPr>
      </w:pPr>
      <w:r w:rsidRPr="005A4C7D">
        <w:rPr>
          <w:sz w:val="24"/>
        </w:rPr>
        <w:t>Figure-8: Visual inspection of the best graphical representation of unemployment data, with and without outlier</w:t>
      </w:r>
    </w:p>
    <w:p w14:paraId="0D001847" w14:textId="130CA46C" w:rsidR="00742A43" w:rsidRPr="005A4C7D" w:rsidRDefault="00742A43">
      <w:pPr>
        <w:spacing w:after="160" w:line="259" w:lineRule="auto"/>
      </w:pPr>
      <w:r w:rsidRPr="005A4C7D">
        <w:br w:type="page"/>
      </w:r>
    </w:p>
    <w:p w14:paraId="670C8DB6" w14:textId="77777777" w:rsidR="00D507DE" w:rsidRPr="005A4C7D" w:rsidRDefault="00D507DE" w:rsidP="00D507DE"/>
    <w:p w14:paraId="57B013D7" w14:textId="77777777" w:rsidR="00D507DE" w:rsidRPr="005A4C7D" w:rsidRDefault="00D507DE" w:rsidP="00D507DE">
      <w:pPr>
        <w:pStyle w:val="SAP-Paragraph"/>
        <w:spacing w:line="360" w:lineRule="auto"/>
        <w:ind w:firstLine="0"/>
        <w:rPr>
          <w:sz w:val="24"/>
        </w:rPr>
      </w:pPr>
      <w:r w:rsidRPr="005A4C7D">
        <w:rPr>
          <w:b/>
          <w:bCs/>
          <w:noProof/>
          <w:sz w:val="24"/>
          <w:lang w:val="en-US" w:eastAsia="ja-JP"/>
        </w:rPr>
        <mc:AlternateContent>
          <mc:Choice Requires="wpg">
            <w:drawing>
              <wp:inline distT="0" distB="0" distL="0" distR="0" wp14:anchorId="5CA2DA37" wp14:editId="6E9A6AC9">
                <wp:extent cx="5731510" cy="2196796"/>
                <wp:effectExtent l="0" t="0" r="2540" b="0"/>
                <wp:docPr id="27" name="Group 27"/>
                <wp:cNvGraphicFramePr/>
                <a:graphic xmlns:a="http://schemas.openxmlformats.org/drawingml/2006/main">
                  <a:graphicData uri="http://schemas.microsoft.com/office/word/2010/wordprocessingGroup">
                    <wpg:wgp>
                      <wpg:cNvGrpSpPr/>
                      <wpg:grpSpPr>
                        <a:xfrm>
                          <a:off x="0" y="0"/>
                          <a:ext cx="5731510" cy="2196796"/>
                          <a:chOff x="0" y="0"/>
                          <a:chExt cx="5797452" cy="2221865"/>
                        </a:xfrm>
                      </wpg:grpSpPr>
                      <pic:pic xmlns:pic="http://schemas.openxmlformats.org/drawingml/2006/picture">
                        <pic:nvPicPr>
                          <pic:cNvPr id="28" name="Picture 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60370" cy="2221865"/>
                          </a:xfrm>
                          <a:prstGeom prst="rect">
                            <a:avLst/>
                          </a:prstGeom>
                          <a:noFill/>
                        </pic:spPr>
                      </pic:pic>
                      <wpg:grpSp>
                        <wpg:cNvPr id="29" name="Group 29"/>
                        <wpg:cNvGrpSpPr/>
                        <wpg:grpSpPr>
                          <a:xfrm>
                            <a:off x="2904978" y="0"/>
                            <a:ext cx="2892474" cy="2221865"/>
                            <a:chOff x="0" y="0"/>
                            <a:chExt cx="2958465" cy="2253615"/>
                          </a:xfrm>
                        </wpg:grpSpPr>
                        <pic:pic xmlns:pic="http://schemas.openxmlformats.org/drawingml/2006/picture">
                          <pic:nvPicPr>
                            <pic:cNvPr id="30" name="Picture 30"/>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8465" cy="2253615"/>
                            </a:xfrm>
                            <a:prstGeom prst="rect">
                              <a:avLst/>
                            </a:prstGeom>
                            <a:noFill/>
                            <a:ln>
                              <a:noFill/>
                            </a:ln>
                          </pic:spPr>
                        </pic:pic>
                        <wps:wsp>
                          <wps:cNvPr id="31" name="Text Box 31"/>
                          <wps:cNvSpPr txBox="1"/>
                          <wps:spPr>
                            <a:xfrm>
                              <a:off x="1800225" y="2057400"/>
                              <a:ext cx="1068705" cy="137160"/>
                            </a:xfrm>
                            <a:prstGeom prst="rect">
                              <a:avLst/>
                            </a:prstGeom>
                            <a:noFill/>
                            <a:ln w="6350">
                              <a:noFill/>
                            </a:ln>
                          </wps:spPr>
                          <wps:txbx>
                            <w:txbxContent>
                              <w:p w14:paraId="2B2298AF" w14:textId="77777777" w:rsidR="00E51683" w:rsidRPr="002A51FA" w:rsidRDefault="00E51683" w:rsidP="00D507DE">
                                <w:pPr>
                                  <w:jc w:val="right"/>
                                  <w:rPr>
                                    <w:sz w:val="16"/>
                                    <w:szCs w:val="16"/>
                                    <w:u w:val="single"/>
                                  </w:rPr>
                                </w:pPr>
                                <w:r>
                                  <w:rPr>
                                    <w:sz w:val="16"/>
                                    <w:szCs w:val="16"/>
                                    <w:u w:val="single"/>
                                  </w:rPr>
                                  <w:t>O</w:t>
                                </w:r>
                                <w:r w:rsidRPr="002A51FA">
                                  <w:rPr>
                                    <w:sz w:val="16"/>
                                    <w:szCs w:val="16"/>
                                    <w:u w:val="single"/>
                                  </w:rPr>
                                  <w:t>utlier</w:t>
                                </w:r>
                                <w:r>
                                  <w:rPr>
                                    <w:sz w:val="16"/>
                                    <w:szCs w:val="16"/>
                                    <w:u w:val="single"/>
                                  </w:rPr>
                                  <w:t xml:space="preserve"> excluded</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wpg:grpSp>
                    </wpg:wgp>
                  </a:graphicData>
                </a:graphic>
              </wp:inline>
            </w:drawing>
          </mc:Choice>
          <mc:Fallback>
            <w:pict>
              <v:group w14:anchorId="5CA2DA37" id="Group 27" o:spid="_x0000_s1026" style="width:451.3pt;height:173pt;mso-position-horizontal-relative:char;mso-position-vertical-relative:line" coordsize="57974,222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29603;height:2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">
                  <v:imagedata r:id="rId32" o:title=""/>
                </v:shape>
                <v:group id="Group 29" o:spid="_x0000_s1028" style="position:absolute;left:29049;width:28925;height:22218" coordsize="29584,22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Picture 30" o:spid="_x0000_s1029" type="#_x0000_t75" style="position:absolute;width:29584;height:225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">
                    <v:imagedata r:id="rId33" o:title=""/>
                  </v:shape>
                  <v:shapetype id="_x0000_t202" coordsize="21600,21600" o:spt="202" path="m,l,21600r21600,l21600,xe">
                    <v:stroke joinstyle="miter"/>
                    <v:path gradientshapeok="t" o:connecttype="rect"/>
                  </v:shapetype>
                  <v:shape id="Text Box 31" o:spid="_x0000_s1030" type="#_x0000_t202" style="position:absolute;left:18002;top:20574;width:10687;height:1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" filled="f" stroked="f" strokeweight=".5pt">
                    <v:textbox inset="0,0,0,0">
                      <w:txbxContent>
                        <w:p w14:paraId="2B2298AF" w14:textId="77777777" w:rsidR="00E51683" w:rsidRPr="002A51FA" w:rsidRDefault="00E51683" w:rsidP="00D507DE">
                          <w:pPr>
                            <w:jc w:val="right"/>
                            <w:rPr>
                              <w:sz w:val="16"/>
                              <w:szCs w:val="16"/>
                              <w:u w:val="single"/>
                            </w:rPr>
                          </w:pPr>
                          <w:r>
                            <w:rPr>
                              <w:sz w:val="16"/>
                              <w:szCs w:val="16"/>
                              <w:u w:val="single"/>
                            </w:rPr>
                            <w:t>O</w:t>
                          </w:r>
                          <w:r w:rsidRPr="002A51FA">
                            <w:rPr>
                              <w:sz w:val="16"/>
                              <w:szCs w:val="16"/>
                              <w:u w:val="single"/>
                            </w:rPr>
                            <w:t>utlier</w:t>
                          </w:r>
                          <w:r>
                            <w:rPr>
                              <w:sz w:val="16"/>
                              <w:szCs w:val="16"/>
                              <w:u w:val="single"/>
                            </w:rPr>
                            <w:t xml:space="preserve"> excluded</w:t>
                          </w:r>
                        </w:p>
                      </w:txbxContent>
                    </v:textbox>
                  </v:shape>
                </v:group>
                <w10:anchorlock/>
              </v:group>
            </w:pict>
          </mc:Fallback>
        </mc:AlternateContent>
      </w:r>
    </w:p>
    <w:p w14:paraId="18F5F3DA" w14:textId="77777777" w:rsidR="00D507DE" w:rsidRPr="005A4C7D" w:rsidRDefault="00D507DE" w:rsidP="00D507DE">
      <w:pPr>
        <w:pStyle w:val="SAP-Paragraph"/>
        <w:spacing w:line="240" w:lineRule="auto"/>
        <w:ind w:firstLine="0"/>
        <w:rPr>
          <w:i/>
          <w:sz w:val="18"/>
        </w:rPr>
      </w:pPr>
      <w:r w:rsidRPr="005A4C7D">
        <w:rPr>
          <w:i/>
          <w:sz w:val="16"/>
        </w:rPr>
        <w:t xml:space="preserve">Source: World Bank dataset national estimate (SL.UEM.TOTL.NE.ZS, 2020). Processed </w:t>
      </w:r>
      <w:r w:rsidRPr="005A4C7D">
        <w:rPr>
          <w:i/>
          <w:sz w:val="18"/>
        </w:rPr>
        <w:t>with STATA.</w:t>
      </w:r>
    </w:p>
    <w:p w14:paraId="2E98B662" w14:textId="3AE6D1CD" w:rsidR="00D507DE" w:rsidRPr="005A4C7D" w:rsidRDefault="00D507DE" w:rsidP="00D507DE">
      <w:pPr>
        <w:jc w:val="center"/>
      </w:pPr>
      <w:r w:rsidRPr="005A4C7D">
        <w:t>Figure-9: ADB</w:t>
      </w:r>
      <w:r w:rsidR="00B5685E" w:rsidRPr="005A4C7D">
        <w:t>’</w:t>
      </w:r>
      <w:r w:rsidRPr="005A4C7D">
        <w:t>s loans effectiveness with a confidence interval, with and without outlier</w:t>
      </w:r>
    </w:p>
    <w:p w14:paraId="33998C51" w14:textId="76D49F24" w:rsidR="00742A43" w:rsidRPr="005A4C7D" w:rsidRDefault="00742A43">
      <w:pPr>
        <w:spacing w:after="160" w:line="259" w:lineRule="auto"/>
        <w:rPr>
          <w:color w:val="141414"/>
        </w:rPr>
      </w:pPr>
      <w:r w:rsidRPr="005A4C7D">
        <w:rPr>
          <w:color w:val="141414"/>
        </w:rPr>
        <w:br w:type="page"/>
      </w:r>
    </w:p>
    <w:p w14:paraId="55EA27FB" w14:textId="77777777" w:rsidR="00D507DE" w:rsidRPr="005A4C7D" w:rsidRDefault="00D507DE" w:rsidP="00D507DE">
      <w:pPr>
        <w:pStyle w:val="SAP-Paragraph"/>
        <w:spacing w:line="240" w:lineRule="auto"/>
        <w:ind w:firstLine="0"/>
        <w:rPr>
          <w:color w:val="141414"/>
          <w:sz w:val="24"/>
        </w:rPr>
      </w:pPr>
    </w:p>
    <w:p w14:paraId="24A8DA8A" w14:textId="77777777" w:rsidR="00D507DE" w:rsidRPr="005A4C7D" w:rsidRDefault="00D507DE" w:rsidP="00D507DE">
      <w:pPr>
        <w:pStyle w:val="SAP-Paragraph"/>
        <w:spacing w:after="120" w:line="240" w:lineRule="auto"/>
        <w:ind w:firstLine="0"/>
        <w:rPr>
          <w:sz w:val="24"/>
        </w:rPr>
      </w:pPr>
      <w:r w:rsidRPr="005A4C7D">
        <w:rPr>
          <w:noProof/>
        </w:rPr>
        <w:drawing>
          <wp:inline distT="0" distB="0" distL="0" distR="0" wp14:anchorId="34FF960F" wp14:editId="4C2C8CCC">
            <wp:extent cx="5854700" cy="2184400"/>
            <wp:effectExtent l="0" t="0" r="0" b="0"/>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referRelativeResize="0">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4700" cy="2184400"/>
                    </a:xfrm>
                    <a:prstGeom prst="rect">
                      <a:avLst/>
                    </a:prstGeom>
                    <a:solidFill>
                      <a:srgbClr val="FFFFFF"/>
                    </a:solidFill>
                    <a:ln>
                      <a:noFill/>
                    </a:ln>
                  </pic:spPr>
                </pic:pic>
              </a:graphicData>
            </a:graphic>
          </wp:inline>
        </w:drawing>
      </w:r>
    </w:p>
    <w:p w14:paraId="7CD4B52C" w14:textId="77777777" w:rsidR="00D507DE" w:rsidRPr="005A4C7D" w:rsidRDefault="00D507DE" w:rsidP="00D507DE">
      <w:pPr>
        <w:pStyle w:val="SAP-Paragraph"/>
        <w:spacing w:line="240" w:lineRule="auto"/>
        <w:ind w:firstLine="0"/>
        <w:rPr>
          <w:i/>
          <w:sz w:val="16"/>
        </w:rPr>
      </w:pPr>
      <w:r w:rsidRPr="005A4C7D">
        <w:rPr>
          <w:i/>
          <w:sz w:val="16"/>
        </w:rPr>
        <w:t>Source: World Bank dataset national estimate (SL.UEM.TOTL.NE.ZS, 2020). Processed with STATA</w:t>
      </w:r>
    </w:p>
    <w:p w14:paraId="07375F69" w14:textId="77777777" w:rsidR="00D507DE" w:rsidRPr="005A4C7D" w:rsidRDefault="00D507DE" w:rsidP="00D507DE">
      <w:pPr>
        <w:pStyle w:val="SAP-Paragraph"/>
        <w:spacing w:after="120" w:line="240" w:lineRule="auto"/>
        <w:ind w:firstLine="0"/>
        <w:jc w:val="left"/>
        <w:rPr>
          <w:sz w:val="24"/>
        </w:rPr>
      </w:pPr>
      <w:r w:rsidRPr="005A4C7D">
        <w:rPr>
          <w:sz w:val="24"/>
        </w:rPr>
        <w:t>Figure-10: Impacts of delays on ADB loans effectiveness on Indonesia unemployment, with and without outlier</w:t>
      </w:r>
    </w:p>
    <w:p w14:paraId="7253ED86" w14:textId="0A9AAF5B" w:rsidR="00742A43" w:rsidRPr="005A4C7D" w:rsidRDefault="00742A43">
      <w:pPr>
        <w:spacing w:after="160" w:line="259" w:lineRule="auto"/>
      </w:pPr>
      <w:r w:rsidRPr="005A4C7D">
        <w:br w:type="page"/>
      </w:r>
    </w:p>
    <w:p w14:paraId="6B45FBAA" w14:textId="77777777" w:rsidR="00D507DE" w:rsidRPr="005A4C7D" w:rsidRDefault="00D507DE" w:rsidP="00D507DE"/>
    <w:p w14:paraId="18CC183B" w14:textId="77777777" w:rsidR="00D507DE" w:rsidRPr="005A4C7D" w:rsidRDefault="00D507DE" w:rsidP="00D507DE">
      <w:pPr>
        <w:pStyle w:val="SAP-Paragraph"/>
        <w:spacing w:line="240" w:lineRule="auto"/>
        <w:ind w:firstLine="0"/>
        <w:rPr>
          <w:color w:val="141414"/>
          <w:sz w:val="24"/>
        </w:rPr>
      </w:pPr>
      <w:r w:rsidRPr="005A4C7D">
        <w:rPr>
          <w:noProof/>
        </w:rPr>
        <w:drawing>
          <wp:inline distT="0" distB="0" distL="0" distR="0" wp14:anchorId="642255A9" wp14:editId="143D0F49">
            <wp:extent cx="5911850" cy="2197100"/>
            <wp:effectExtent l="0" t="0" r="0" b="0"/>
            <wp:docPr id="46"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1850" cy="2197100"/>
                    </a:xfrm>
                    <a:prstGeom prst="rect">
                      <a:avLst/>
                    </a:prstGeom>
                    <a:solidFill>
                      <a:srgbClr val="FFFFFF"/>
                    </a:solidFill>
                    <a:ln>
                      <a:noFill/>
                    </a:ln>
                  </pic:spPr>
                </pic:pic>
              </a:graphicData>
            </a:graphic>
          </wp:inline>
        </w:drawing>
      </w:r>
    </w:p>
    <w:p w14:paraId="68CA4E4C" w14:textId="77777777" w:rsidR="00D507DE" w:rsidRPr="005A4C7D" w:rsidRDefault="00D507DE" w:rsidP="00D507DE">
      <w:pPr>
        <w:pStyle w:val="SAP-Paragraph"/>
        <w:spacing w:line="240" w:lineRule="auto"/>
        <w:ind w:firstLine="0"/>
        <w:rPr>
          <w:i/>
          <w:sz w:val="16"/>
        </w:rPr>
      </w:pPr>
      <w:r w:rsidRPr="005A4C7D">
        <w:rPr>
          <w:i/>
          <w:sz w:val="16"/>
        </w:rPr>
        <w:t>Source: World Bank dataset national estimate (SL.UEM.TOTL.NE.ZS, 2020). Processed</w:t>
      </w:r>
    </w:p>
    <w:p w14:paraId="342AA2A9" w14:textId="77777777" w:rsidR="00D507DE" w:rsidRPr="005A4C7D" w:rsidRDefault="00D507DE" w:rsidP="00D507DE">
      <w:pPr>
        <w:pStyle w:val="SAP-Paragraph"/>
        <w:spacing w:after="120" w:line="240" w:lineRule="auto"/>
        <w:ind w:firstLine="0"/>
        <w:rPr>
          <w:sz w:val="24"/>
        </w:rPr>
      </w:pPr>
      <w:r w:rsidRPr="005A4C7D">
        <w:rPr>
          <w:sz w:val="24"/>
        </w:rPr>
        <w:t>Figure-11: STATA’s predictions with Fractional Polynomial on ADB loans effectiveness on Indonesia unemployment, with and without outlier</w:t>
      </w:r>
    </w:p>
    <w:p w14:paraId="62AEFA32" w14:textId="02D27F3C" w:rsidR="00742A43" w:rsidRPr="005A4C7D" w:rsidRDefault="00742A43">
      <w:pPr>
        <w:spacing w:after="160" w:line="259" w:lineRule="auto"/>
      </w:pPr>
      <w:r w:rsidRPr="005A4C7D">
        <w:br w:type="page"/>
      </w:r>
    </w:p>
    <w:p w14:paraId="6DC130F8" w14:textId="77777777" w:rsidR="00D507DE" w:rsidRPr="005A4C7D" w:rsidRDefault="00D507DE" w:rsidP="00D507DE">
      <w:pPr>
        <w:jc w:val="center"/>
      </w:pPr>
      <w:r w:rsidRPr="005A4C7D">
        <w:rPr>
          <w:noProof/>
        </w:rPr>
        <w:lastRenderedPageBreak/>
        <w:drawing>
          <wp:inline distT="0" distB="0" distL="0" distR="0" wp14:anchorId="058023A9" wp14:editId="1FE4D074">
            <wp:extent cx="5727700" cy="3873500"/>
            <wp:effectExtent l="0" t="0" r="0" b="0"/>
            <wp:docPr id="47"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7700" cy="3873500"/>
                    </a:xfrm>
                    <a:prstGeom prst="rect">
                      <a:avLst/>
                    </a:prstGeom>
                    <a:solidFill>
                      <a:srgbClr val="FFFFFF"/>
                    </a:solidFill>
                    <a:ln>
                      <a:noFill/>
                    </a:ln>
                  </pic:spPr>
                </pic:pic>
              </a:graphicData>
            </a:graphic>
          </wp:inline>
        </w:drawing>
      </w:r>
    </w:p>
    <w:p w14:paraId="27808E02" w14:textId="6D266B64" w:rsidR="00D507DE" w:rsidRPr="005A4C7D" w:rsidRDefault="00D507DE" w:rsidP="00D507DE">
      <w:pPr>
        <w:jc w:val="both"/>
        <w:rPr>
          <w:i/>
          <w:sz w:val="16"/>
        </w:rPr>
      </w:pPr>
      <w:r w:rsidRPr="005A4C7D">
        <w:rPr>
          <w:i/>
          <w:sz w:val="16"/>
        </w:rPr>
        <w:t>Note: Processed. Results may not be the same when rerun due to Monte-Carlo</w:t>
      </w:r>
      <w:r w:rsidR="00B5685E" w:rsidRPr="005A4C7D">
        <w:rPr>
          <w:i/>
          <w:sz w:val="16"/>
        </w:rPr>
        <w:t>’</w:t>
      </w:r>
      <w:r w:rsidRPr="005A4C7D">
        <w:rPr>
          <w:i/>
          <w:sz w:val="16"/>
        </w:rPr>
        <w:t>s nature</w:t>
      </w:r>
      <w:r w:rsidR="0081742D">
        <w:rPr>
          <w:i/>
          <w:sz w:val="16"/>
        </w:rPr>
        <w:t xml:space="preserve">. </w:t>
      </w:r>
      <w:r w:rsidRPr="005A4C7D">
        <w:rPr>
          <w:i/>
          <w:sz w:val="16"/>
        </w:rPr>
        <w:t>Each bar was simulated with the same percentage of disbursement increment</w:t>
      </w:r>
      <w:r w:rsidR="0081742D">
        <w:rPr>
          <w:i/>
          <w:sz w:val="16"/>
        </w:rPr>
        <w:t xml:space="preserve">. </w:t>
      </w:r>
      <w:r w:rsidRPr="005A4C7D">
        <w:rPr>
          <w:i/>
          <w:sz w:val="16"/>
        </w:rPr>
        <w:t>World Bank dataset based on ILO estimate (SL.UEM.TOTL.ZS) is used</w:t>
      </w:r>
      <w:r w:rsidR="0081742D">
        <w:rPr>
          <w:i/>
          <w:sz w:val="16"/>
        </w:rPr>
        <w:t xml:space="preserve">. </w:t>
      </w:r>
    </w:p>
    <w:p w14:paraId="09D4BC92" w14:textId="77777777" w:rsidR="00D507DE" w:rsidRPr="005A4C7D" w:rsidRDefault="00D507DE" w:rsidP="00D507DE">
      <w:pPr>
        <w:pStyle w:val="SAP-Paragraph"/>
        <w:spacing w:line="240" w:lineRule="auto"/>
        <w:ind w:firstLine="0"/>
        <w:rPr>
          <w:sz w:val="24"/>
        </w:rPr>
      </w:pPr>
      <w:r w:rsidRPr="005A4C7D">
        <w:rPr>
          <w:sz w:val="24"/>
        </w:rPr>
        <w:t>Figure-12: Stochastic (Monte-Carlo) agent-based simulation (SABM) results showing the impacts of delays and their volatilities, measured against 100% disbursement.</w:t>
      </w:r>
    </w:p>
    <w:p w14:paraId="4152D859" w14:textId="77777777" w:rsidR="00D507DE" w:rsidRPr="005A4C7D" w:rsidRDefault="00D507DE" w:rsidP="00D507DE"/>
    <w:p w14:paraId="2242A7B9" w14:textId="77777777" w:rsidR="00D507DE" w:rsidRPr="005A4C7D" w:rsidRDefault="00D507DE" w:rsidP="00D507DE"/>
    <w:p w14:paraId="7229326E" w14:textId="77777777" w:rsidR="00D507DE" w:rsidRPr="005A4C7D" w:rsidRDefault="00D507DE" w:rsidP="00D507DE"/>
    <w:p w14:paraId="31809814" w14:textId="2F325141" w:rsidR="00D507DE" w:rsidRPr="005A4C7D" w:rsidRDefault="00D507DE" w:rsidP="00D507DE"/>
    <w:p w14:paraId="3863E954" w14:textId="6BFB16A0" w:rsidR="00D507DE" w:rsidRPr="005A4C7D" w:rsidRDefault="00D507DE" w:rsidP="00D507DE"/>
    <w:p w14:paraId="1A9FF389" w14:textId="054E888B" w:rsidR="00D507DE" w:rsidRPr="005A4C7D" w:rsidRDefault="00D507DE" w:rsidP="00D507DE"/>
    <w:p w14:paraId="30D8F1B2" w14:textId="5AC4AB3A" w:rsidR="00E2296C" w:rsidRPr="005A4C7D" w:rsidRDefault="00E2296C">
      <w:pPr>
        <w:spacing w:after="160" w:line="259" w:lineRule="auto"/>
      </w:pPr>
      <w:r w:rsidRPr="005A4C7D">
        <w:br w:type="page"/>
      </w:r>
    </w:p>
    <w:p w14:paraId="45E9C795" w14:textId="77777777" w:rsidR="00D507DE" w:rsidRPr="005A4C7D" w:rsidRDefault="00D507DE" w:rsidP="00D507DE"/>
    <w:p w14:paraId="296E4FDD" w14:textId="77777777" w:rsidR="00D507DE" w:rsidRPr="005A4C7D" w:rsidRDefault="00D507DE" w:rsidP="00D507DE"/>
    <w:p w14:paraId="2D570352" w14:textId="77777777" w:rsidR="00D507DE" w:rsidRPr="005A4C7D" w:rsidRDefault="00D507DE" w:rsidP="00D507DE">
      <w:pPr>
        <w:tabs>
          <w:tab w:val="left" w:pos="2708"/>
        </w:tabs>
        <w:jc w:val="center"/>
      </w:pPr>
      <w:r w:rsidRPr="005A4C7D">
        <w:t>Table-</w:t>
      </w:r>
      <w:r w:rsidRPr="005A4C7D">
        <w:rPr>
          <w:lang w:val="en-US"/>
        </w:rPr>
        <w:t>1</w:t>
      </w:r>
      <w:r w:rsidRPr="005A4C7D">
        <w:t>: Normalized ADB Disbursement S-curve Profiles (2008-2017)</w:t>
      </w:r>
    </w:p>
    <w:p w14:paraId="7E272246" w14:textId="715CC408" w:rsidR="00D507DE" w:rsidRPr="005A4C7D" w:rsidRDefault="00D507DE" w:rsidP="00D507DE">
      <w:r w:rsidRPr="005A4C7D">
        <w:rPr>
          <w:noProof/>
        </w:rPr>
        <w:drawing>
          <wp:inline distT="0" distB="0" distL="0" distR="0" wp14:anchorId="281DC59D" wp14:editId="1932D8DA">
            <wp:extent cx="5746750" cy="908050"/>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46750" cy="908050"/>
                    </a:xfrm>
                    <a:prstGeom prst="rect">
                      <a:avLst/>
                    </a:prstGeom>
                    <a:solidFill>
                      <a:srgbClr val="FFFFFF"/>
                    </a:solidFill>
                    <a:ln>
                      <a:noFill/>
                    </a:ln>
                  </pic:spPr>
                </pic:pic>
              </a:graphicData>
            </a:graphic>
          </wp:inline>
        </w:drawing>
      </w:r>
    </w:p>
    <w:p w14:paraId="0ED94BD7" w14:textId="413F1DFE" w:rsidR="00742A43" w:rsidRPr="005A4C7D" w:rsidRDefault="00742A43">
      <w:pPr>
        <w:spacing w:after="160" w:line="259" w:lineRule="auto"/>
      </w:pPr>
      <w:r w:rsidRPr="005A4C7D">
        <w:br w:type="page"/>
      </w:r>
    </w:p>
    <w:p w14:paraId="3E5ACE31" w14:textId="77777777" w:rsidR="00D507DE" w:rsidRPr="005A4C7D" w:rsidRDefault="00D507DE" w:rsidP="00D507DE">
      <w:pPr>
        <w:jc w:val="center"/>
        <w:rPr>
          <w:color w:val="141414"/>
        </w:rPr>
      </w:pPr>
      <w:r w:rsidRPr="005A4C7D">
        <w:rPr>
          <w:color w:val="141414"/>
        </w:rPr>
        <w:lastRenderedPageBreak/>
        <w:t>Table-</w:t>
      </w:r>
      <w:r w:rsidRPr="005A4C7D">
        <w:rPr>
          <w:color w:val="141414"/>
          <w:lang w:val="en-US"/>
        </w:rPr>
        <w:t>2</w:t>
      </w:r>
      <w:r w:rsidRPr="005A4C7D">
        <w:rPr>
          <w:color w:val="141414"/>
        </w:rPr>
        <w:t>:</w:t>
      </w:r>
      <w:r w:rsidRPr="005A4C7D">
        <w:rPr>
          <w:color w:val="141414"/>
          <w:lang w:val="en-US"/>
        </w:rPr>
        <w:t xml:space="preserve"> </w:t>
      </w:r>
      <w:r w:rsidRPr="005A4C7D">
        <w:rPr>
          <w:color w:val="141414"/>
        </w:rPr>
        <w:t>Bayesian information criterion (BIC)</w:t>
      </w:r>
    </w:p>
    <w:p w14:paraId="3CA503E5" w14:textId="77777777" w:rsidR="00D507DE" w:rsidRPr="005A4C7D" w:rsidRDefault="00D507DE" w:rsidP="00D507DE">
      <w:pPr>
        <w:jc w:val="center"/>
        <w:rPr>
          <w:i/>
          <w:color w:val="141414"/>
          <w:sz w:val="20"/>
        </w:rPr>
      </w:pPr>
      <w:r w:rsidRPr="005A4C7D">
        <w:rPr>
          <w:i/>
          <w:color w:val="141414"/>
          <w:sz w:val="20"/>
        </w:rPr>
        <w:t>(Criteria: Best fit = smallest)</w:t>
      </w:r>
    </w:p>
    <w:tbl>
      <w:tblPr>
        <w:tblW w:w="0" w:type="auto"/>
        <w:jc w:val="center"/>
        <w:tblLook w:val="04A0" w:firstRow="1" w:lastRow="0" w:firstColumn="1" w:lastColumn="0" w:noHBand="0" w:noVBand="1"/>
      </w:tblPr>
      <w:tblGrid>
        <w:gridCol w:w="1675"/>
        <w:gridCol w:w="639"/>
        <w:gridCol w:w="947"/>
        <w:gridCol w:w="1137"/>
        <w:gridCol w:w="929"/>
        <w:gridCol w:w="1090"/>
        <w:gridCol w:w="833"/>
      </w:tblGrid>
      <w:tr w:rsidR="00D507DE" w:rsidRPr="005A4C7D" w14:paraId="122610AD" w14:textId="77777777" w:rsidTr="00CC6B4B">
        <w:trPr>
          <w:cantSplit/>
          <w:jc w:val="center"/>
        </w:trPr>
        <w:tc>
          <w:tcPr>
            <w:tcW w:w="0" w:type="auto"/>
            <w:tcBorders>
              <w:top w:val="single" w:sz="8" w:space="0" w:color="000000"/>
              <w:left w:val="single" w:sz="8" w:space="0" w:color="000000"/>
              <w:right w:val="nil"/>
            </w:tcBorders>
            <w:shd w:val="clear" w:color="auto" w:fill="FFF2CC"/>
            <w:noWrap/>
            <w:vAlign w:val="center"/>
            <w:hideMark/>
          </w:tcPr>
          <w:p w14:paraId="219336B8" w14:textId="77777777" w:rsidR="00D507DE" w:rsidRPr="005A4C7D" w:rsidRDefault="00D507DE" w:rsidP="00A4655D">
            <w:pPr>
              <w:jc w:val="center"/>
              <w:rPr>
                <w:b/>
              </w:rPr>
            </w:pPr>
            <w:r w:rsidRPr="005A4C7D">
              <w:rPr>
                <w:b/>
                <w:sz w:val="22"/>
              </w:rPr>
              <w:t>Model</w:t>
            </w:r>
          </w:p>
        </w:tc>
        <w:tc>
          <w:tcPr>
            <w:tcW w:w="0" w:type="auto"/>
            <w:tcBorders>
              <w:top w:val="single" w:sz="8" w:space="0" w:color="000000"/>
              <w:left w:val="nil"/>
              <w:right w:val="nil"/>
            </w:tcBorders>
            <w:shd w:val="clear" w:color="auto" w:fill="FFF2CC"/>
            <w:noWrap/>
            <w:vAlign w:val="center"/>
            <w:hideMark/>
          </w:tcPr>
          <w:p w14:paraId="27A6F21C" w14:textId="77777777" w:rsidR="00D507DE" w:rsidRPr="005A4C7D" w:rsidRDefault="00D507DE" w:rsidP="00A4655D">
            <w:pPr>
              <w:jc w:val="center"/>
              <w:rPr>
                <w:b/>
              </w:rPr>
            </w:pPr>
            <w:r w:rsidRPr="005A4C7D">
              <w:rPr>
                <w:b/>
                <w:sz w:val="22"/>
              </w:rPr>
              <w:t>Obs</w:t>
            </w:r>
          </w:p>
        </w:tc>
        <w:tc>
          <w:tcPr>
            <w:tcW w:w="0" w:type="auto"/>
            <w:tcBorders>
              <w:top w:val="single" w:sz="8" w:space="0" w:color="000000"/>
              <w:left w:val="nil"/>
              <w:right w:val="nil"/>
            </w:tcBorders>
            <w:shd w:val="clear" w:color="auto" w:fill="FFF2CC"/>
            <w:noWrap/>
            <w:vAlign w:val="center"/>
            <w:hideMark/>
          </w:tcPr>
          <w:p w14:paraId="4AA2D7AA" w14:textId="77777777" w:rsidR="00D507DE" w:rsidRPr="005A4C7D" w:rsidRDefault="00D507DE" w:rsidP="00A4655D">
            <w:pPr>
              <w:jc w:val="center"/>
              <w:rPr>
                <w:b/>
              </w:rPr>
            </w:pPr>
            <w:r w:rsidRPr="005A4C7D">
              <w:rPr>
                <w:b/>
                <w:sz w:val="22"/>
              </w:rPr>
              <w:t>ll(null)</w:t>
            </w:r>
          </w:p>
        </w:tc>
        <w:tc>
          <w:tcPr>
            <w:tcW w:w="0" w:type="auto"/>
            <w:tcBorders>
              <w:top w:val="single" w:sz="8" w:space="0" w:color="000000"/>
              <w:left w:val="nil"/>
              <w:right w:val="nil"/>
            </w:tcBorders>
            <w:shd w:val="clear" w:color="auto" w:fill="FFF2CC"/>
            <w:noWrap/>
            <w:vAlign w:val="center"/>
            <w:hideMark/>
          </w:tcPr>
          <w:p w14:paraId="64387723" w14:textId="77777777" w:rsidR="00D507DE" w:rsidRPr="005A4C7D" w:rsidRDefault="00D507DE" w:rsidP="00A4655D">
            <w:pPr>
              <w:jc w:val="center"/>
              <w:rPr>
                <w:b/>
              </w:rPr>
            </w:pPr>
            <w:r w:rsidRPr="005A4C7D">
              <w:rPr>
                <w:b/>
                <w:sz w:val="22"/>
              </w:rPr>
              <w:t>ll(model)</w:t>
            </w:r>
          </w:p>
        </w:tc>
        <w:tc>
          <w:tcPr>
            <w:tcW w:w="0" w:type="auto"/>
            <w:tcBorders>
              <w:top w:val="single" w:sz="8" w:space="0" w:color="000000"/>
              <w:left w:val="nil"/>
              <w:right w:val="nil"/>
            </w:tcBorders>
            <w:shd w:val="clear" w:color="auto" w:fill="FFF2CC"/>
            <w:noWrap/>
            <w:vAlign w:val="center"/>
            <w:hideMark/>
          </w:tcPr>
          <w:p w14:paraId="653F6682" w14:textId="77777777" w:rsidR="00D507DE" w:rsidRPr="005A4C7D" w:rsidRDefault="00D507DE" w:rsidP="00A4655D">
            <w:pPr>
              <w:jc w:val="center"/>
              <w:rPr>
                <w:b/>
              </w:rPr>
            </w:pPr>
            <w:r w:rsidRPr="005A4C7D">
              <w:rPr>
                <w:b/>
                <w:sz w:val="22"/>
              </w:rPr>
              <w:t>df</w:t>
            </w:r>
          </w:p>
        </w:tc>
        <w:tc>
          <w:tcPr>
            <w:tcW w:w="0" w:type="auto"/>
            <w:tcBorders>
              <w:top w:val="single" w:sz="8" w:space="0" w:color="000000"/>
              <w:left w:val="nil"/>
              <w:right w:val="nil"/>
            </w:tcBorders>
            <w:shd w:val="clear" w:color="auto" w:fill="FFF2CC"/>
            <w:noWrap/>
            <w:vAlign w:val="center"/>
            <w:hideMark/>
          </w:tcPr>
          <w:p w14:paraId="4C4C7F8A" w14:textId="77777777" w:rsidR="00D507DE" w:rsidRPr="005A4C7D" w:rsidRDefault="00D507DE" w:rsidP="00A4655D">
            <w:pPr>
              <w:jc w:val="center"/>
              <w:rPr>
                <w:b/>
              </w:rPr>
            </w:pPr>
            <w:r w:rsidRPr="005A4C7D">
              <w:rPr>
                <w:b/>
                <w:sz w:val="22"/>
              </w:rPr>
              <w:t>AIC</w:t>
            </w:r>
          </w:p>
        </w:tc>
        <w:tc>
          <w:tcPr>
            <w:tcW w:w="0" w:type="auto"/>
            <w:tcBorders>
              <w:top w:val="single" w:sz="8" w:space="0" w:color="000000"/>
              <w:left w:val="nil"/>
              <w:right w:val="single" w:sz="8" w:space="0" w:color="000000"/>
            </w:tcBorders>
            <w:shd w:val="clear" w:color="auto" w:fill="FFF2CC"/>
            <w:noWrap/>
            <w:vAlign w:val="center"/>
            <w:hideMark/>
          </w:tcPr>
          <w:p w14:paraId="2DC5A3B5" w14:textId="77777777" w:rsidR="00D507DE" w:rsidRPr="005A4C7D" w:rsidRDefault="00D507DE" w:rsidP="00A4655D">
            <w:pPr>
              <w:jc w:val="center"/>
              <w:rPr>
                <w:b/>
              </w:rPr>
            </w:pPr>
            <w:r w:rsidRPr="005A4C7D">
              <w:rPr>
                <w:b/>
                <w:sz w:val="22"/>
              </w:rPr>
              <w:t>BIC</w:t>
            </w:r>
          </w:p>
        </w:tc>
      </w:tr>
      <w:tr w:rsidR="00D507DE" w:rsidRPr="005A4C7D" w14:paraId="6092DCE1" w14:textId="77777777" w:rsidTr="00CC6B4B">
        <w:trPr>
          <w:cantSplit/>
          <w:jc w:val="center"/>
        </w:trPr>
        <w:tc>
          <w:tcPr>
            <w:tcW w:w="0" w:type="auto"/>
            <w:tcBorders>
              <w:top w:val="nil"/>
              <w:left w:val="single" w:sz="8" w:space="0" w:color="000000"/>
              <w:bottom w:val="nil"/>
              <w:right w:val="nil"/>
            </w:tcBorders>
            <w:shd w:val="clear" w:color="auto" w:fill="F2F2F2"/>
            <w:noWrap/>
            <w:vAlign w:val="center"/>
            <w:hideMark/>
          </w:tcPr>
          <w:p w14:paraId="595A7FFB" w14:textId="6C53B348" w:rsidR="00D507DE" w:rsidRPr="005A4C7D" w:rsidRDefault="00D507DE" w:rsidP="00A4655D">
            <w:pPr>
              <w:rPr>
                <w:sz w:val="20"/>
              </w:rPr>
            </w:pPr>
            <w:r w:rsidRPr="005A4C7D">
              <w:rPr>
                <w:sz w:val="20"/>
              </w:rPr>
              <w:t>Linear-All</w:t>
            </w:r>
          </w:p>
        </w:tc>
        <w:tc>
          <w:tcPr>
            <w:tcW w:w="0" w:type="auto"/>
            <w:tcBorders>
              <w:top w:val="nil"/>
              <w:left w:val="nil"/>
              <w:bottom w:val="nil"/>
              <w:right w:val="nil"/>
            </w:tcBorders>
            <w:shd w:val="clear" w:color="auto" w:fill="F2F2F2"/>
            <w:noWrap/>
            <w:vAlign w:val="center"/>
            <w:hideMark/>
          </w:tcPr>
          <w:p w14:paraId="7FECB6CB" w14:textId="77777777" w:rsidR="00D507DE" w:rsidRPr="005A4C7D" w:rsidRDefault="00D507DE" w:rsidP="00A4655D">
            <w:pPr>
              <w:jc w:val="center"/>
              <w:rPr>
                <w:sz w:val="20"/>
              </w:rPr>
            </w:pPr>
            <w:r w:rsidRPr="005A4C7D">
              <w:rPr>
                <w:sz w:val="20"/>
              </w:rPr>
              <w:t>43</w:t>
            </w:r>
          </w:p>
        </w:tc>
        <w:tc>
          <w:tcPr>
            <w:tcW w:w="0" w:type="auto"/>
            <w:tcBorders>
              <w:top w:val="nil"/>
              <w:left w:val="nil"/>
              <w:bottom w:val="nil"/>
              <w:right w:val="nil"/>
            </w:tcBorders>
            <w:shd w:val="clear" w:color="auto" w:fill="F2F2F2"/>
            <w:noWrap/>
            <w:vAlign w:val="center"/>
            <w:hideMark/>
          </w:tcPr>
          <w:p w14:paraId="372D7831" w14:textId="77777777" w:rsidR="00D507DE" w:rsidRPr="005A4C7D" w:rsidRDefault="00D507DE" w:rsidP="00A4655D">
            <w:pPr>
              <w:jc w:val="right"/>
              <w:rPr>
                <w:sz w:val="20"/>
              </w:rPr>
            </w:pPr>
            <w:r w:rsidRPr="005A4C7D">
              <w:rPr>
                <w:sz w:val="20"/>
              </w:rPr>
              <w:t xml:space="preserve">-   90.38 </w:t>
            </w:r>
          </w:p>
        </w:tc>
        <w:tc>
          <w:tcPr>
            <w:tcW w:w="0" w:type="auto"/>
            <w:tcBorders>
              <w:top w:val="nil"/>
              <w:left w:val="nil"/>
              <w:bottom w:val="nil"/>
              <w:right w:val="nil"/>
            </w:tcBorders>
            <w:shd w:val="clear" w:color="auto" w:fill="F2F2F2"/>
            <w:noWrap/>
            <w:vAlign w:val="center"/>
            <w:hideMark/>
          </w:tcPr>
          <w:p w14:paraId="6668BFBF" w14:textId="77777777" w:rsidR="00D507DE" w:rsidRPr="005A4C7D" w:rsidRDefault="00D507DE" w:rsidP="00A4655D">
            <w:pPr>
              <w:jc w:val="right"/>
              <w:rPr>
                <w:sz w:val="20"/>
              </w:rPr>
            </w:pPr>
            <w:r w:rsidRPr="005A4C7D">
              <w:rPr>
                <w:sz w:val="20"/>
              </w:rPr>
              <w:t xml:space="preserve">-   81.58 </w:t>
            </w:r>
          </w:p>
        </w:tc>
        <w:tc>
          <w:tcPr>
            <w:tcW w:w="0" w:type="auto"/>
            <w:tcBorders>
              <w:top w:val="nil"/>
              <w:left w:val="nil"/>
              <w:bottom w:val="nil"/>
              <w:right w:val="nil"/>
            </w:tcBorders>
            <w:shd w:val="clear" w:color="auto" w:fill="F2F2F2"/>
            <w:noWrap/>
            <w:vAlign w:val="center"/>
            <w:hideMark/>
          </w:tcPr>
          <w:p w14:paraId="5B90FB52" w14:textId="77777777" w:rsidR="00D507DE" w:rsidRPr="005A4C7D" w:rsidRDefault="00D507DE" w:rsidP="00A4655D">
            <w:pPr>
              <w:jc w:val="right"/>
              <w:rPr>
                <w:sz w:val="20"/>
              </w:rPr>
            </w:pPr>
            <w:r w:rsidRPr="005A4C7D">
              <w:rPr>
                <w:sz w:val="20"/>
              </w:rPr>
              <w:t xml:space="preserve">      4.00 </w:t>
            </w:r>
          </w:p>
        </w:tc>
        <w:tc>
          <w:tcPr>
            <w:tcW w:w="0" w:type="auto"/>
            <w:tcBorders>
              <w:top w:val="nil"/>
              <w:left w:val="nil"/>
              <w:bottom w:val="nil"/>
              <w:right w:val="nil"/>
            </w:tcBorders>
            <w:shd w:val="clear" w:color="auto" w:fill="F2F2F2"/>
            <w:noWrap/>
            <w:vAlign w:val="center"/>
            <w:hideMark/>
          </w:tcPr>
          <w:p w14:paraId="64065912" w14:textId="77777777" w:rsidR="00D507DE" w:rsidRPr="005A4C7D" w:rsidRDefault="00D507DE" w:rsidP="00A4655D">
            <w:pPr>
              <w:jc w:val="right"/>
              <w:rPr>
                <w:sz w:val="20"/>
              </w:rPr>
            </w:pPr>
            <w:r w:rsidRPr="005A4C7D">
              <w:rPr>
                <w:sz w:val="20"/>
              </w:rPr>
              <w:t xml:space="preserve">     171.17 </w:t>
            </w:r>
          </w:p>
        </w:tc>
        <w:tc>
          <w:tcPr>
            <w:tcW w:w="0" w:type="auto"/>
            <w:tcBorders>
              <w:top w:val="nil"/>
              <w:left w:val="nil"/>
              <w:bottom w:val="nil"/>
              <w:right w:val="single" w:sz="8" w:space="0" w:color="000000"/>
            </w:tcBorders>
            <w:shd w:val="clear" w:color="auto" w:fill="F2F2F2"/>
            <w:noWrap/>
            <w:vAlign w:val="center"/>
            <w:hideMark/>
          </w:tcPr>
          <w:p w14:paraId="6293F109" w14:textId="77777777" w:rsidR="00D507DE" w:rsidRPr="005A4C7D" w:rsidRDefault="00D507DE" w:rsidP="00A4655D">
            <w:pPr>
              <w:jc w:val="right"/>
              <w:rPr>
                <w:sz w:val="20"/>
              </w:rPr>
            </w:pPr>
            <w:r w:rsidRPr="005A4C7D">
              <w:rPr>
                <w:sz w:val="20"/>
              </w:rPr>
              <w:t xml:space="preserve"> 178.21 </w:t>
            </w:r>
          </w:p>
        </w:tc>
      </w:tr>
      <w:tr w:rsidR="00D507DE" w:rsidRPr="005A4C7D" w14:paraId="7DE82B4E" w14:textId="77777777" w:rsidTr="00CC6B4B">
        <w:trPr>
          <w:cantSplit/>
          <w:jc w:val="center"/>
        </w:trPr>
        <w:tc>
          <w:tcPr>
            <w:tcW w:w="0" w:type="auto"/>
            <w:tcBorders>
              <w:top w:val="nil"/>
              <w:left w:val="single" w:sz="8" w:space="0" w:color="000000"/>
              <w:bottom w:val="nil"/>
              <w:right w:val="nil"/>
            </w:tcBorders>
            <w:shd w:val="clear" w:color="auto" w:fill="FFFFFF"/>
            <w:noWrap/>
            <w:vAlign w:val="center"/>
            <w:hideMark/>
          </w:tcPr>
          <w:p w14:paraId="7D30922E" w14:textId="47D5FC89" w:rsidR="00D507DE" w:rsidRPr="009870C8" w:rsidRDefault="00D507DE" w:rsidP="00A4655D">
            <w:pPr>
              <w:rPr>
                <w:sz w:val="20"/>
                <w:lang w:val="en-US"/>
              </w:rPr>
            </w:pPr>
            <w:r w:rsidRPr="005A4C7D">
              <w:rPr>
                <w:sz w:val="20"/>
              </w:rPr>
              <w:t xml:space="preserve">FP2-100% </w:t>
            </w:r>
            <w:r w:rsidR="009870C8">
              <w:rPr>
                <w:sz w:val="20"/>
              </w:rPr>
              <w:t>Diab</w:t>
            </w:r>
            <w:r w:rsidR="009870C8">
              <w:rPr>
                <w:sz w:val="20"/>
                <w:lang w:val="en-US"/>
              </w:rPr>
              <w:t>.</w:t>
            </w:r>
          </w:p>
        </w:tc>
        <w:tc>
          <w:tcPr>
            <w:tcW w:w="0" w:type="auto"/>
            <w:tcBorders>
              <w:top w:val="nil"/>
              <w:left w:val="nil"/>
              <w:bottom w:val="nil"/>
              <w:right w:val="nil"/>
            </w:tcBorders>
            <w:shd w:val="clear" w:color="auto" w:fill="FFFFFF"/>
            <w:noWrap/>
            <w:vAlign w:val="center"/>
            <w:hideMark/>
          </w:tcPr>
          <w:p w14:paraId="4B64E4DF" w14:textId="77777777" w:rsidR="00D507DE" w:rsidRPr="005A4C7D" w:rsidRDefault="00D507DE" w:rsidP="00A4655D">
            <w:pPr>
              <w:jc w:val="center"/>
              <w:rPr>
                <w:sz w:val="20"/>
              </w:rPr>
            </w:pPr>
            <w:r w:rsidRPr="005A4C7D">
              <w:rPr>
                <w:sz w:val="20"/>
              </w:rPr>
              <w:t>43</w:t>
            </w:r>
          </w:p>
        </w:tc>
        <w:tc>
          <w:tcPr>
            <w:tcW w:w="0" w:type="auto"/>
            <w:tcBorders>
              <w:top w:val="nil"/>
              <w:left w:val="nil"/>
              <w:bottom w:val="nil"/>
              <w:right w:val="nil"/>
            </w:tcBorders>
            <w:shd w:val="clear" w:color="auto" w:fill="FFFFFF"/>
            <w:noWrap/>
            <w:vAlign w:val="center"/>
            <w:hideMark/>
          </w:tcPr>
          <w:p w14:paraId="78AD2A15" w14:textId="77777777" w:rsidR="00D507DE" w:rsidRPr="005A4C7D" w:rsidRDefault="00D507DE" w:rsidP="00A4655D">
            <w:pPr>
              <w:jc w:val="right"/>
              <w:rPr>
                <w:sz w:val="20"/>
              </w:rPr>
            </w:pPr>
            <w:r w:rsidRPr="005A4C7D">
              <w:rPr>
                <w:sz w:val="20"/>
              </w:rPr>
              <w:t xml:space="preserve">-   21.49 </w:t>
            </w:r>
          </w:p>
        </w:tc>
        <w:tc>
          <w:tcPr>
            <w:tcW w:w="0" w:type="auto"/>
            <w:tcBorders>
              <w:top w:val="nil"/>
              <w:left w:val="nil"/>
              <w:bottom w:val="nil"/>
              <w:right w:val="nil"/>
            </w:tcBorders>
            <w:shd w:val="clear" w:color="auto" w:fill="FFFFFF"/>
            <w:noWrap/>
            <w:vAlign w:val="center"/>
            <w:hideMark/>
          </w:tcPr>
          <w:p w14:paraId="26345720" w14:textId="77777777" w:rsidR="00D507DE" w:rsidRPr="005A4C7D" w:rsidRDefault="00D507DE" w:rsidP="00A4655D">
            <w:pPr>
              <w:jc w:val="right"/>
              <w:rPr>
                <w:sz w:val="20"/>
              </w:rPr>
            </w:pPr>
            <w:r w:rsidRPr="005A4C7D">
              <w:rPr>
                <w:sz w:val="20"/>
              </w:rPr>
              <w:t xml:space="preserve">-   14.26 </w:t>
            </w:r>
          </w:p>
        </w:tc>
        <w:tc>
          <w:tcPr>
            <w:tcW w:w="0" w:type="auto"/>
            <w:tcBorders>
              <w:top w:val="nil"/>
              <w:left w:val="nil"/>
              <w:bottom w:val="nil"/>
              <w:right w:val="nil"/>
            </w:tcBorders>
            <w:shd w:val="clear" w:color="auto" w:fill="FFFFFF"/>
            <w:noWrap/>
            <w:vAlign w:val="center"/>
            <w:hideMark/>
          </w:tcPr>
          <w:p w14:paraId="40FF24E4" w14:textId="77777777" w:rsidR="00D507DE" w:rsidRPr="005A4C7D" w:rsidRDefault="00D507DE" w:rsidP="00A4655D">
            <w:pPr>
              <w:jc w:val="right"/>
              <w:rPr>
                <w:sz w:val="20"/>
              </w:rPr>
            </w:pPr>
            <w:r w:rsidRPr="005A4C7D">
              <w:rPr>
                <w:sz w:val="20"/>
              </w:rPr>
              <w:t xml:space="preserve">      3.00 </w:t>
            </w:r>
          </w:p>
        </w:tc>
        <w:tc>
          <w:tcPr>
            <w:tcW w:w="0" w:type="auto"/>
            <w:tcBorders>
              <w:top w:val="nil"/>
              <w:left w:val="nil"/>
              <w:bottom w:val="nil"/>
              <w:right w:val="nil"/>
            </w:tcBorders>
            <w:shd w:val="clear" w:color="auto" w:fill="EDEDED"/>
            <w:noWrap/>
            <w:vAlign w:val="center"/>
            <w:hideMark/>
          </w:tcPr>
          <w:p w14:paraId="1737167F" w14:textId="77777777" w:rsidR="00D507DE" w:rsidRPr="005A4C7D" w:rsidRDefault="00D507DE" w:rsidP="00A4655D">
            <w:pPr>
              <w:jc w:val="right"/>
              <w:rPr>
                <w:b/>
                <w:sz w:val="20"/>
              </w:rPr>
            </w:pPr>
            <w:r w:rsidRPr="005A4C7D">
              <w:rPr>
                <w:b/>
                <w:sz w:val="20"/>
              </w:rPr>
              <w:t xml:space="preserve">       34.52 </w:t>
            </w:r>
          </w:p>
        </w:tc>
        <w:tc>
          <w:tcPr>
            <w:tcW w:w="0" w:type="auto"/>
            <w:tcBorders>
              <w:top w:val="nil"/>
              <w:left w:val="nil"/>
              <w:bottom w:val="nil"/>
              <w:right w:val="single" w:sz="8" w:space="0" w:color="000000"/>
            </w:tcBorders>
            <w:shd w:val="clear" w:color="auto" w:fill="EDEDED"/>
            <w:noWrap/>
            <w:vAlign w:val="center"/>
            <w:hideMark/>
          </w:tcPr>
          <w:p w14:paraId="3766CD8B" w14:textId="77777777" w:rsidR="00D507DE" w:rsidRPr="005A4C7D" w:rsidRDefault="00D507DE" w:rsidP="00A4655D">
            <w:pPr>
              <w:jc w:val="right"/>
              <w:rPr>
                <w:b/>
                <w:sz w:val="20"/>
              </w:rPr>
            </w:pPr>
            <w:r w:rsidRPr="005A4C7D">
              <w:rPr>
                <w:b/>
                <w:sz w:val="20"/>
              </w:rPr>
              <w:t xml:space="preserve">   39.80 </w:t>
            </w:r>
          </w:p>
        </w:tc>
      </w:tr>
      <w:tr w:rsidR="00D507DE" w:rsidRPr="005A4C7D" w14:paraId="28B6F3A3" w14:textId="77777777" w:rsidTr="00CC6B4B">
        <w:trPr>
          <w:cantSplit/>
          <w:jc w:val="center"/>
        </w:trPr>
        <w:tc>
          <w:tcPr>
            <w:tcW w:w="0" w:type="auto"/>
            <w:tcBorders>
              <w:top w:val="nil"/>
              <w:left w:val="single" w:sz="8" w:space="0" w:color="000000"/>
              <w:bottom w:val="nil"/>
              <w:right w:val="nil"/>
            </w:tcBorders>
            <w:shd w:val="clear" w:color="auto" w:fill="FFFFFF"/>
            <w:noWrap/>
            <w:vAlign w:val="center"/>
            <w:hideMark/>
          </w:tcPr>
          <w:p w14:paraId="4ED2390F" w14:textId="0D214B73" w:rsidR="00D507DE" w:rsidRPr="005A4C7D" w:rsidRDefault="00D507DE" w:rsidP="00A4655D">
            <w:pPr>
              <w:rPr>
                <w:sz w:val="20"/>
              </w:rPr>
            </w:pPr>
            <w:r w:rsidRPr="005A4C7D">
              <w:rPr>
                <w:sz w:val="20"/>
              </w:rPr>
              <w:t>FP2-5-year</w:t>
            </w:r>
          </w:p>
        </w:tc>
        <w:tc>
          <w:tcPr>
            <w:tcW w:w="0" w:type="auto"/>
            <w:tcBorders>
              <w:top w:val="nil"/>
              <w:left w:val="nil"/>
              <w:bottom w:val="nil"/>
              <w:right w:val="nil"/>
            </w:tcBorders>
            <w:shd w:val="clear" w:color="auto" w:fill="FFFFFF"/>
            <w:noWrap/>
            <w:vAlign w:val="center"/>
            <w:hideMark/>
          </w:tcPr>
          <w:p w14:paraId="71E3D9AD" w14:textId="77777777" w:rsidR="00D507DE" w:rsidRPr="005A4C7D" w:rsidRDefault="00D507DE" w:rsidP="00A4655D">
            <w:pPr>
              <w:jc w:val="center"/>
              <w:rPr>
                <w:sz w:val="20"/>
              </w:rPr>
            </w:pPr>
            <w:r w:rsidRPr="005A4C7D">
              <w:rPr>
                <w:sz w:val="20"/>
              </w:rPr>
              <w:t>43</w:t>
            </w:r>
          </w:p>
        </w:tc>
        <w:tc>
          <w:tcPr>
            <w:tcW w:w="0" w:type="auto"/>
            <w:tcBorders>
              <w:top w:val="nil"/>
              <w:left w:val="nil"/>
              <w:bottom w:val="nil"/>
              <w:right w:val="nil"/>
            </w:tcBorders>
            <w:shd w:val="clear" w:color="auto" w:fill="FFFFFF"/>
            <w:noWrap/>
            <w:vAlign w:val="center"/>
            <w:hideMark/>
          </w:tcPr>
          <w:p w14:paraId="4D22AAE6" w14:textId="77777777" w:rsidR="00D507DE" w:rsidRPr="005A4C7D" w:rsidRDefault="00D507DE" w:rsidP="00A4655D">
            <w:pPr>
              <w:jc w:val="right"/>
              <w:rPr>
                <w:sz w:val="20"/>
              </w:rPr>
            </w:pPr>
            <w:r w:rsidRPr="005A4C7D">
              <w:rPr>
                <w:sz w:val="20"/>
              </w:rPr>
              <w:t xml:space="preserve">-     1.87 </w:t>
            </w:r>
          </w:p>
        </w:tc>
        <w:tc>
          <w:tcPr>
            <w:tcW w:w="0" w:type="auto"/>
            <w:tcBorders>
              <w:top w:val="nil"/>
              <w:left w:val="nil"/>
              <w:bottom w:val="nil"/>
              <w:right w:val="nil"/>
            </w:tcBorders>
            <w:shd w:val="clear" w:color="auto" w:fill="FFFFFF"/>
            <w:noWrap/>
            <w:vAlign w:val="center"/>
            <w:hideMark/>
          </w:tcPr>
          <w:p w14:paraId="46030682" w14:textId="77777777" w:rsidR="00D507DE" w:rsidRPr="005A4C7D" w:rsidRDefault="00D507DE" w:rsidP="00A4655D">
            <w:pPr>
              <w:jc w:val="right"/>
              <w:rPr>
                <w:sz w:val="20"/>
              </w:rPr>
            </w:pPr>
            <w:r w:rsidRPr="005A4C7D">
              <w:rPr>
                <w:sz w:val="20"/>
              </w:rPr>
              <w:t xml:space="preserve">-     0.92 </w:t>
            </w:r>
          </w:p>
        </w:tc>
        <w:tc>
          <w:tcPr>
            <w:tcW w:w="0" w:type="auto"/>
            <w:tcBorders>
              <w:top w:val="nil"/>
              <w:left w:val="nil"/>
              <w:bottom w:val="nil"/>
              <w:right w:val="nil"/>
            </w:tcBorders>
            <w:shd w:val="clear" w:color="auto" w:fill="FFFFFF"/>
            <w:noWrap/>
            <w:vAlign w:val="center"/>
            <w:hideMark/>
          </w:tcPr>
          <w:p w14:paraId="7D1D719B" w14:textId="77777777" w:rsidR="00D507DE" w:rsidRPr="005A4C7D" w:rsidRDefault="00D507DE" w:rsidP="00A4655D">
            <w:pPr>
              <w:jc w:val="right"/>
              <w:rPr>
                <w:sz w:val="20"/>
              </w:rPr>
            </w:pPr>
            <w:r w:rsidRPr="005A4C7D">
              <w:rPr>
                <w:sz w:val="20"/>
              </w:rPr>
              <w:t xml:space="preserve">      3.00 </w:t>
            </w:r>
          </w:p>
        </w:tc>
        <w:tc>
          <w:tcPr>
            <w:tcW w:w="0" w:type="auto"/>
            <w:tcBorders>
              <w:top w:val="nil"/>
              <w:left w:val="nil"/>
              <w:bottom w:val="nil"/>
              <w:right w:val="nil"/>
            </w:tcBorders>
            <w:shd w:val="clear" w:color="auto" w:fill="EDEDED"/>
            <w:noWrap/>
            <w:vAlign w:val="center"/>
            <w:hideMark/>
          </w:tcPr>
          <w:p w14:paraId="6D9C32FA" w14:textId="77777777" w:rsidR="00D507DE" w:rsidRPr="005A4C7D" w:rsidRDefault="00D507DE" w:rsidP="00A4655D">
            <w:pPr>
              <w:jc w:val="right"/>
              <w:rPr>
                <w:b/>
                <w:sz w:val="20"/>
              </w:rPr>
            </w:pPr>
            <w:r w:rsidRPr="005A4C7D">
              <w:rPr>
                <w:b/>
                <w:sz w:val="20"/>
              </w:rPr>
              <w:t xml:space="preserve">         7.85 </w:t>
            </w:r>
          </w:p>
        </w:tc>
        <w:tc>
          <w:tcPr>
            <w:tcW w:w="0" w:type="auto"/>
            <w:tcBorders>
              <w:top w:val="nil"/>
              <w:left w:val="nil"/>
              <w:bottom w:val="nil"/>
              <w:right w:val="single" w:sz="8" w:space="0" w:color="000000"/>
            </w:tcBorders>
            <w:shd w:val="clear" w:color="auto" w:fill="EDEDED"/>
            <w:noWrap/>
            <w:vAlign w:val="center"/>
            <w:hideMark/>
          </w:tcPr>
          <w:p w14:paraId="1C5CA1C6" w14:textId="77777777" w:rsidR="00D507DE" w:rsidRPr="005A4C7D" w:rsidRDefault="00D507DE" w:rsidP="00A4655D">
            <w:pPr>
              <w:jc w:val="right"/>
              <w:rPr>
                <w:b/>
                <w:sz w:val="20"/>
              </w:rPr>
            </w:pPr>
            <w:r w:rsidRPr="005A4C7D">
              <w:rPr>
                <w:b/>
                <w:sz w:val="20"/>
              </w:rPr>
              <w:t xml:space="preserve">   13.13 </w:t>
            </w:r>
          </w:p>
        </w:tc>
      </w:tr>
      <w:tr w:rsidR="00D507DE" w:rsidRPr="005A4C7D" w14:paraId="0BA96729" w14:textId="77777777" w:rsidTr="00CC6B4B">
        <w:trPr>
          <w:cantSplit/>
          <w:jc w:val="center"/>
        </w:trPr>
        <w:tc>
          <w:tcPr>
            <w:tcW w:w="0" w:type="auto"/>
            <w:tcBorders>
              <w:top w:val="nil"/>
              <w:left w:val="single" w:sz="8" w:space="0" w:color="000000"/>
              <w:bottom w:val="nil"/>
              <w:right w:val="nil"/>
            </w:tcBorders>
            <w:shd w:val="clear" w:color="auto" w:fill="FFFFFF"/>
            <w:noWrap/>
            <w:vAlign w:val="center"/>
            <w:hideMark/>
          </w:tcPr>
          <w:p w14:paraId="0DAD6B5E" w14:textId="41E18388" w:rsidR="00D507DE" w:rsidRPr="005A4C7D" w:rsidRDefault="00D507DE" w:rsidP="00A4655D">
            <w:pPr>
              <w:rPr>
                <w:sz w:val="20"/>
              </w:rPr>
            </w:pPr>
            <w:r w:rsidRPr="005A4C7D">
              <w:rPr>
                <w:sz w:val="20"/>
              </w:rPr>
              <w:t>FP2-7-year</w:t>
            </w:r>
          </w:p>
        </w:tc>
        <w:tc>
          <w:tcPr>
            <w:tcW w:w="0" w:type="auto"/>
            <w:tcBorders>
              <w:top w:val="nil"/>
              <w:left w:val="nil"/>
              <w:bottom w:val="nil"/>
              <w:right w:val="nil"/>
            </w:tcBorders>
            <w:shd w:val="clear" w:color="auto" w:fill="FFFFFF"/>
            <w:noWrap/>
            <w:vAlign w:val="center"/>
            <w:hideMark/>
          </w:tcPr>
          <w:p w14:paraId="50FC9CA3" w14:textId="77777777" w:rsidR="00D507DE" w:rsidRPr="005A4C7D" w:rsidRDefault="00D507DE" w:rsidP="00A4655D">
            <w:pPr>
              <w:jc w:val="center"/>
              <w:rPr>
                <w:sz w:val="20"/>
              </w:rPr>
            </w:pPr>
            <w:r w:rsidRPr="005A4C7D">
              <w:rPr>
                <w:sz w:val="20"/>
              </w:rPr>
              <w:t>43</w:t>
            </w:r>
          </w:p>
        </w:tc>
        <w:tc>
          <w:tcPr>
            <w:tcW w:w="0" w:type="auto"/>
            <w:tcBorders>
              <w:top w:val="nil"/>
              <w:left w:val="nil"/>
              <w:bottom w:val="nil"/>
              <w:right w:val="nil"/>
            </w:tcBorders>
            <w:shd w:val="clear" w:color="auto" w:fill="FFFFFF"/>
            <w:noWrap/>
            <w:vAlign w:val="center"/>
            <w:hideMark/>
          </w:tcPr>
          <w:p w14:paraId="0611E87E" w14:textId="77777777" w:rsidR="00D507DE" w:rsidRPr="005A4C7D" w:rsidRDefault="00D507DE" w:rsidP="00A4655D">
            <w:pPr>
              <w:jc w:val="right"/>
              <w:rPr>
                <w:sz w:val="20"/>
              </w:rPr>
            </w:pPr>
            <w:r w:rsidRPr="005A4C7D">
              <w:rPr>
                <w:sz w:val="20"/>
              </w:rPr>
              <w:t xml:space="preserve">      0.69 </w:t>
            </w:r>
          </w:p>
        </w:tc>
        <w:tc>
          <w:tcPr>
            <w:tcW w:w="0" w:type="auto"/>
            <w:tcBorders>
              <w:top w:val="nil"/>
              <w:left w:val="nil"/>
              <w:bottom w:val="nil"/>
              <w:right w:val="nil"/>
            </w:tcBorders>
            <w:shd w:val="clear" w:color="auto" w:fill="FFFFFF"/>
            <w:noWrap/>
            <w:vAlign w:val="center"/>
            <w:hideMark/>
          </w:tcPr>
          <w:p w14:paraId="7810E3FD" w14:textId="77777777" w:rsidR="00D507DE" w:rsidRPr="005A4C7D" w:rsidRDefault="00D507DE" w:rsidP="00A4655D">
            <w:pPr>
              <w:jc w:val="right"/>
              <w:rPr>
                <w:sz w:val="20"/>
              </w:rPr>
            </w:pPr>
            <w:r w:rsidRPr="005A4C7D">
              <w:rPr>
                <w:sz w:val="20"/>
              </w:rPr>
              <w:t xml:space="preserve">       1.67 </w:t>
            </w:r>
          </w:p>
        </w:tc>
        <w:tc>
          <w:tcPr>
            <w:tcW w:w="0" w:type="auto"/>
            <w:tcBorders>
              <w:top w:val="nil"/>
              <w:left w:val="nil"/>
              <w:bottom w:val="nil"/>
              <w:right w:val="nil"/>
            </w:tcBorders>
            <w:shd w:val="clear" w:color="auto" w:fill="FFFFFF"/>
            <w:noWrap/>
            <w:vAlign w:val="center"/>
            <w:hideMark/>
          </w:tcPr>
          <w:p w14:paraId="3B076648" w14:textId="77777777" w:rsidR="00D507DE" w:rsidRPr="005A4C7D" w:rsidRDefault="00D507DE" w:rsidP="00A4655D">
            <w:pPr>
              <w:jc w:val="right"/>
              <w:rPr>
                <w:sz w:val="20"/>
              </w:rPr>
            </w:pPr>
            <w:r w:rsidRPr="005A4C7D">
              <w:rPr>
                <w:sz w:val="20"/>
              </w:rPr>
              <w:t xml:space="preserve">      3.00 </w:t>
            </w:r>
          </w:p>
        </w:tc>
        <w:tc>
          <w:tcPr>
            <w:tcW w:w="0" w:type="auto"/>
            <w:tcBorders>
              <w:top w:val="nil"/>
              <w:left w:val="nil"/>
              <w:bottom w:val="nil"/>
              <w:right w:val="nil"/>
            </w:tcBorders>
            <w:shd w:val="clear" w:color="auto" w:fill="EDEDED"/>
            <w:noWrap/>
            <w:vAlign w:val="center"/>
            <w:hideMark/>
          </w:tcPr>
          <w:p w14:paraId="25EBBE49" w14:textId="77777777" w:rsidR="00D507DE" w:rsidRPr="005A4C7D" w:rsidRDefault="00D507DE" w:rsidP="00A4655D">
            <w:pPr>
              <w:jc w:val="right"/>
              <w:rPr>
                <w:b/>
                <w:sz w:val="20"/>
              </w:rPr>
            </w:pPr>
            <w:r w:rsidRPr="005A4C7D">
              <w:rPr>
                <w:b/>
                <w:sz w:val="20"/>
              </w:rPr>
              <w:t xml:space="preserve">         2.67 </w:t>
            </w:r>
          </w:p>
        </w:tc>
        <w:tc>
          <w:tcPr>
            <w:tcW w:w="0" w:type="auto"/>
            <w:tcBorders>
              <w:top w:val="nil"/>
              <w:left w:val="nil"/>
              <w:bottom w:val="nil"/>
              <w:right w:val="single" w:sz="8" w:space="0" w:color="000000"/>
            </w:tcBorders>
            <w:shd w:val="clear" w:color="auto" w:fill="EDEDED"/>
            <w:noWrap/>
            <w:vAlign w:val="center"/>
            <w:hideMark/>
          </w:tcPr>
          <w:p w14:paraId="5FEFC019" w14:textId="77777777" w:rsidR="00D507DE" w:rsidRPr="005A4C7D" w:rsidRDefault="00D507DE" w:rsidP="00A4655D">
            <w:pPr>
              <w:jc w:val="right"/>
              <w:rPr>
                <w:b/>
                <w:sz w:val="20"/>
              </w:rPr>
            </w:pPr>
            <w:r w:rsidRPr="005A4C7D">
              <w:rPr>
                <w:b/>
                <w:sz w:val="20"/>
              </w:rPr>
              <w:t xml:space="preserve">     7.95 </w:t>
            </w:r>
          </w:p>
        </w:tc>
      </w:tr>
      <w:tr w:rsidR="00D507DE" w:rsidRPr="005A4C7D" w14:paraId="01F7A158" w14:textId="77777777" w:rsidTr="00CC6B4B">
        <w:trPr>
          <w:cantSplit/>
          <w:jc w:val="center"/>
        </w:trPr>
        <w:tc>
          <w:tcPr>
            <w:tcW w:w="0" w:type="auto"/>
            <w:tcBorders>
              <w:top w:val="nil"/>
              <w:left w:val="single" w:sz="8" w:space="0" w:color="000000"/>
              <w:bottom w:val="nil"/>
              <w:right w:val="nil"/>
            </w:tcBorders>
            <w:shd w:val="clear" w:color="auto" w:fill="EDEDED"/>
            <w:noWrap/>
            <w:vAlign w:val="center"/>
            <w:hideMark/>
          </w:tcPr>
          <w:p w14:paraId="7CE74ED5" w14:textId="5969AFCA" w:rsidR="00D507DE" w:rsidRPr="005A4C7D" w:rsidRDefault="00D507DE" w:rsidP="00A4655D">
            <w:pPr>
              <w:rPr>
                <w:b/>
                <w:sz w:val="20"/>
              </w:rPr>
            </w:pPr>
            <w:r w:rsidRPr="005A4C7D">
              <w:rPr>
                <w:b/>
                <w:sz w:val="20"/>
              </w:rPr>
              <w:t>FP2-All</w:t>
            </w:r>
          </w:p>
        </w:tc>
        <w:tc>
          <w:tcPr>
            <w:tcW w:w="0" w:type="auto"/>
            <w:tcBorders>
              <w:top w:val="nil"/>
              <w:left w:val="nil"/>
              <w:bottom w:val="nil"/>
              <w:right w:val="nil"/>
            </w:tcBorders>
            <w:shd w:val="clear" w:color="auto" w:fill="EDEDED"/>
            <w:noWrap/>
            <w:vAlign w:val="center"/>
            <w:hideMark/>
          </w:tcPr>
          <w:p w14:paraId="50C83165" w14:textId="77777777" w:rsidR="00D507DE" w:rsidRPr="005A4C7D" w:rsidRDefault="00D507DE" w:rsidP="00A4655D">
            <w:pPr>
              <w:jc w:val="center"/>
              <w:rPr>
                <w:b/>
                <w:sz w:val="20"/>
              </w:rPr>
            </w:pPr>
            <w:r w:rsidRPr="005A4C7D">
              <w:rPr>
                <w:b/>
                <w:sz w:val="20"/>
              </w:rPr>
              <w:t>43</w:t>
            </w:r>
          </w:p>
        </w:tc>
        <w:tc>
          <w:tcPr>
            <w:tcW w:w="0" w:type="auto"/>
            <w:tcBorders>
              <w:top w:val="nil"/>
              <w:left w:val="nil"/>
              <w:bottom w:val="nil"/>
              <w:right w:val="nil"/>
            </w:tcBorders>
            <w:shd w:val="clear" w:color="auto" w:fill="EDEDED"/>
            <w:noWrap/>
            <w:vAlign w:val="center"/>
            <w:hideMark/>
          </w:tcPr>
          <w:p w14:paraId="2B1BDED0" w14:textId="77777777" w:rsidR="00D507DE" w:rsidRPr="005A4C7D" w:rsidRDefault="00D507DE" w:rsidP="00A4655D">
            <w:pPr>
              <w:jc w:val="right"/>
              <w:rPr>
                <w:b/>
                <w:sz w:val="20"/>
              </w:rPr>
            </w:pPr>
            <w:r w:rsidRPr="005A4C7D">
              <w:rPr>
                <w:b/>
                <w:sz w:val="20"/>
              </w:rPr>
              <w:t xml:space="preserve">-   21.49 </w:t>
            </w:r>
          </w:p>
        </w:tc>
        <w:tc>
          <w:tcPr>
            <w:tcW w:w="0" w:type="auto"/>
            <w:tcBorders>
              <w:top w:val="nil"/>
              <w:left w:val="nil"/>
              <w:bottom w:val="nil"/>
              <w:right w:val="nil"/>
            </w:tcBorders>
            <w:shd w:val="clear" w:color="auto" w:fill="EDEDED"/>
            <w:noWrap/>
            <w:vAlign w:val="center"/>
            <w:hideMark/>
          </w:tcPr>
          <w:p w14:paraId="673F9359" w14:textId="77777777" w:rsidR="00D507DE" w:rsidRPr="005A4C7D" w:rsidRDefault="00D507DE" w:rsidP="00A4655D">
            <w:pPr>
              <w:jc w:val="right"/>
              <w:rPr>
                <w:b/>
                <w:sz w:val="20"/>
              </w:rPr>
            </w:pPr>
            <w:r w:rsidRPr="005A4C7D">
              <w:rPr>
                <w:b/>
                <w:sz w:val="20"/>
              </w:rPr>
              <w:t xml:space="preserve">     13.79 </w:t>
            </w:r>
          </w:p>
        </w:tc>
        <w:tc>
          <w:tcPr>
            <w:tcW w:w="0" w:type="auto"/>
            <w:tcBorders>
              <w:top w:val="nil"/>
              <w:left w:val="nil"/>
              <w:bottom w:val="nil"/>
              <w:right w:val="nil"/>
            </w:tcBorders>
            <w:shd w:val="clear" w:color="auto" w:fill="EDEDED"/>
            <w:noWrap/>
            <w:vAlign w:val="center"/>
            <w:hideMark/>
          </w:tcPr>
          <w:p w14:paraId="0D04A99B" w14:textId="77777777" w:rsidR="00D507DE" w:rsidRPr="005A4C7D" w:rsidRDefault="00D507DE" w:rsidP="00A4655D">
            <w:pPr>
              <w:jc w:val="right"/>
              <w:rPr>
                <w:b/>
                <w:sz w:val="20"/>
              </w:rPr>
            </w:pPr>
            <w:r w:rsidRPr="005A4C7D">
              <w:rPr>
                <w:b/>
                <w:sz w:val="20"/>
              </w:rPr>
              <w:t xml:space="preserve">      5.00 </w:t>
            </w:r>
          </w:p>
        </w:tc>
        <w:tc>
          <w:tcPr>
            <w:tcW w:w="0" w:type="auto"/>
            <w:tcBorders>
              <w:top w:val="nil"/>
              <w:left w:val="nil"/>
              <w:bottom w:val="nil"/>
              <w:right w:val="nil"/>
            </w:tcBorders>
            <w:shd w:val="clear" w:color="auto" w:fill="EDEDED"/>
            <w:noWrap/>
            <w:vAlign w:val="center"/>
            <w:hideMark/>
          </w:tcPr>
          <w:p w14:paraId="06EB64D9" w14:textId="77777777" w:rsidR="00D507DE" w:rsidRPr="005A4C7D" w:rsidRDefault="00D507DE" w:rsidP="00A4655D">
            <w:pPr>
              <w:jc w:val="right"/>
              <w:rPr>
                <w:b/>
                <w:sz w:val="20"/>
              </w:rPr>
            </w:pPr>
            <w:r w:rsidRPr="005A4C7D">
              <w:rPr>
                <w:b/>
                <w:sz w:val="20"/>
              </w:rPr>
              <w:t xml:space="preserve">-     17.58 </w:t>
            </w:r>
          </w:p>
        </w:tc>
        <w:tc>
          <w:tcPr>
            <w:tcW w:w="0" w:type="auto"/>
            <w:tcBorders>
              <w:top w:val="nil"/>
              <w:left w:val="nil"/>
              <w:bottom w:val="nil"/>
              <w:right w:val="single" w:sz="8" w:space="0" w:color="000000"/>
            </w:tcBorders>
            <w:shd w:val="clear" w:color="auto" w:fill="EDEDED"/>
            <w:noWrap/>
            <w:vAlign w:val="center"/>
            <w:hideMark/>
          </w:tcPr>
          <w:p w14:paraId="0F887B87" w14:textId="77777777" w:rsidR="00D507DE" w:rsidRPr="005A4C7D" w:rsidRDefault="00D507DE" w:rsidP="00A4655D">
            <w:pPr>
              <w:jc w:val="right"/>
              <w:rPr>
                <w:b/>
                <w:sz w:val="20"/>
              </w:rPr>
            </w:pPr>
            <w:r w:rsidRPr="005A4C7D">
              <w:rPr>
                <w:b/>
                <w:sz w:val="20"/>
              </w:rPr>
              <w:t xml:space="preserve">-    8.77 </w:t>
            </w:r>
          </w:p>
        </w:tc>
      </w:tr>
      <w:tr w:rsidR="00D507DE" w:rsidRPr="005A4C7D" w14:paraId="230E110A" w14:textId="77777777" w:rsidTr="00CC6B4B">
        <w:trPr>
          <w:cantSplit/>
          <w:jc w:val="center"/>
        </w:trPr>
        <w:tc>
          <w:tcPr>
            <w:tcW w:w="0" w:type="auto"/>
            <w:tcBorders>
              <w:top w:val="nil"/>
              <w:left w:val="single" w:sz="8" w:space="0" w:color="000000"/>
              <w:bottom w:val="single" w:sz="8" w:space="0" w:color="000000"/>
              <w:right w:val="nil"/>
            </w:tcBorders>
            <w:shd w:val="clear" w:color="auto" w:fill="EDEDED"/>
            <w:noWrap/>
            <w:vAlign w:val="center"/>
            <w:hideMark/>
          </w:tcPr>
          <w:p w14:paraId="13F56265" w14:textId="2F66B9C3" w:rsidR="00D507DE" w:rsidRPr="005A4C7D" w:rsidRDefault="00D507DE" w:rsidP="00A4655D">
            <w:pPr>
              <w:rPr>
                <w:b/>
                <w:sz w:val="20"/>
              </w:rPr>
            </w:pPr>
            <w:r w:rsidRPr="005A4C7D">
              <w:rPr>
                <w:b/>
                <w:sz w:val="20"/>
              </w:rPr>
              <w:t>FP1-All</w:t>
            </w:r>
          </w:p>
        </w:tc>
        <w:tc>
          <w:tcPr>
            <w:tcW w:w="0" w:type="auto"/>
            <w:tcBorders>
              <w:top w:val="nil"/>
              <w:left w:val="nil"/>
              <w:bottom w:val="single" w:sz="8" w:space="0" w:color="000000"/>
              <w:right w:val="nil"/>
            </w:tcBorders>
            <w:shd w:val="clear" w:color="auto" w:fill="EDEDED"/>
            <w:noWrap/>
            <w:vAlign w:val="center"/>
            <w:hideMark/>
          </w:tcPr>
          <w:p w14:paraId="47CC83BA" w14:textId="77777777" w:rsidR="00D507DE" w:rsidRPr="005A4C7D" w:rsidRDefault="00D507DE" w:rsidP="00A4655D">
            <w:pPr>
              <w:jc w:val="center"/>
              <w:rPr>
                <w:b/>
                <w:sz w:val="20"/>
              </w:rPr>
            </w:pPr>
            <w:r w:rsidRPr="005A4C7D">
              <w:rPr>
                <w:b/>
                <w:sz w:val="20"/>
              </w:rPr>
              <w:t>43</w:t>
            </w:r>
          </w:p>
        </w:tc>
        <w:tc>
          <w:tcPr>
            <w:tcW w:w="0" w:type="auto"/>
            <w:tcBorders>
              <w:top w:val="nil"/>
              <w:left w:val="nil"/>
              <w:bottom w:val="single" w:sz="8" w:space="0" w:color="000000"/>
              <w:right w:val="nil"/>
            </w:tcBorders>
            <w:shd w:val="clear" w:color="auto" w:fill="EDEDED"/>
            <w:noWrap/>
            <w:vAlign w:val="center"/>
            <w:hideMark/>
          </w:tcPr>
          <w:p w14:paraId="0BE6488C" w14:textId="77777777" w:rsidR="00D507DE" w:rsidRPr="005A4C7D" w:rsidRDefault="00D507DE" w:rsidP="00A4655D">
            <w:pPr>
              <w:jc w:val="right"/>
              <w:rPr>
                <w:b/>
                <w:sz w:val="20"/>
              </w:rPr>
            </w:pPr>
            <w:r w:rsidRPr="005A4C7D">
              <w:rPr>
                <w:b/>
                <w:sz w:val="20"/>
              </w:rPr>
              <w:t xml:space="preserve">-   21.49 </w:t>
            </w:r>
          </w:p>
        </w:tc>
        <w:tc>
          <w:tcPr>
            <w:tcW w:w="0" w:type="auto"/>
            <w:tcBorders>
              <w:top w:val="nil"/>
              <w:left w:val="nil"/>
              <w:bottom w:val="single" w:sz="8" w:space="0" w:color="000000"/>
              <w:right w:val="nil"/>
            </w:tcBorders>
            <w:shd w:val="clear" w:color="auto" w:fill="EDEDED"/>
            <w:noWrap/>
            <w:vAlign w:val="center"/>
            <w:hideMark/>
          </w:tcPr>
          <w:p w14:paraId="1C79CB66" w14:textId="77777777" w:rsidR="00D507DE" w:rsidRPr="005A4C7D" w:rsidRDefault="00D507DE" w:rsidP="00A4655D">
            <w:pPr>
              <w:jc w:val="right"/>
              <w:rPr>
                <w:b/>
                <w:sz w:val="20"/>
              </w:rPr>
            </w:pPr>
            <w:r w:rsidRPr="005A4C7D">
              <w:rPr>
                <w:b/>
                <w:sz w:val="20"/>
              </w:rPr>
              <w:t xml:space="preserve">       4.29 </w:t>
            </w:r>
          </w:p>
        </w:tc>
        <w:tc>
          <w:tcPr>
            <w:tcW w:w="0" w:type="auto"/>
            <w:tcBorders>
              <w:top w:val="nil"/>
              <w:left w:val="nil"/>
              <w:bottom w:val="single" w:sz="8" w:space="0" w:color="000000"/>
              <w:right w:val="nil"/>
            </w:tcBorders>
            <w:shd w:val="clear" w:color="auto" w:fill="EDEDED"/>
            <w:noWrap/>
            <w:vAlign w:val="center"/>
            <w:hideMark/>
          </w:tcPr>
          <w:p w14:paraId="077CC5CD" w14:textId="77777777" w:rsidR="00D507DE" w:rsidRPr="005A4C7D" w:rsidRDefault="00D507DE" w:rsidP="00A4655D">
            <w:pPr>
              <w:jc w:val="right"/>
              <w:rPr>
                <w:b/>
                <w:sz w:val="20"/>
              </w:rPr>
            </w:pPr>
            <w:r w:rsidRPr="005A4C7D">
              <w:rPr>
                <w:b/>
                <w:sz w:val="20"/>
              </w:rPr>
              <w:t xml:space="preserve">      4.00 </w:t>
            </w:r>
          </w:p>
        </w:tc>
        <w:tc>
          <w:tcPr>
            <w:tcW w:w="0" w:type="auto"/>
            <w:tcBorders>
              <w:top w:val="nil"/>
              <w:left w:val="nil"/>
              <w:bottom w:val="single" w:sz="8" w:space="0" w:color="000000"/>
              <w:right w:val="nil"/>
            </w:tcBorders>
            <w:shd w:val="clear" w:color="auto" w:fill="EDEDED"/>
            <w:noWrap/>
            <w:vAlign w:val="center"/>
            <w:hideMark/>
          </w:tcPr>
          <w:p w14:paraId="58BCF05C" w14:textId="77777777" w:rsidR="00D507DE" w:rsidRPr="005A4C7D" w:rsidRDefault="00D507DE" w:rsidP="00A4655D">
            <w:pPr>
              <w:jc w:val="right"/>
              <w:rPr>
                <w:b/>
                <w:sz w:val="20"/>
              </w:rPr>
            </w:pPr>
            <w:r w:rsidRPr="005A4C7D">
              <w:rPr>
                <w:b/>
                <w:sz w:val="20"/>
              </w:rPr>
              <w:t xml:space="preserve">-       0.59 </w:t>
            </w:r>
          </w:p>
        </w:tc>
        <w:tc>
          <w:tcPr>
            <w:tcW w:w="0" w:type="auto"/>
            <w:tcBorders>
              <w:top w:val="nil"/>
              <w:left w:val="nil"/>
              <w:bottom w:val="single" w:sz="8" w:space="0" w:color="000000"/>
              <w:right w:val="single" w:sz="8" w:space="0" w:color="000000"/>
            </w:tcBorders>
            <w:shd w:val="clear" w:color="auto" w:fill="EDEDED"/>
            <w:noWrap/>
            <w:vAlign w:val="center"/>
            <w:hideMark/>
          </w:tcPr>
          <w:p w14:paraId="635DDDAD" w14:textId="77777777" w:rsidR="00D507DE" w:rsidRPr="005A4C7D" w:rsidRDefault="00D507DE" w:rsidP="00A4655D">
            <w:pPr>
              <w:jc w:val="right"/>
              <w:rPr>
                <w:b/>
                <w:sz w:val="20"/>
              </w:rPr>
            </w:pPr>
            <w:r w:rsidRPr="005A4C7D">
              <w:rPr>
                <w:b/>
                <w:sz w:val="20"/>
              </w:rPr>
              <w:t xml:space="preserve">     6.45 </w:t>
            </w:r>
          </w:p>
        </w:tc>
      </w:tr>
      <w:tr w:rsidR="00D507DE" w:rsidRPr="005A4C7D" w14:paraId="2C70F1E6" w14:textId="77777777" w:rsidTr="00CC6B4B">
        <w:trPr>
          <w:cantSplit/>
          <w:jc w:val="center"/>
        </w:trPr>
        <w:tc>
          <w:tcPr>
            <w:tcW w:w="0" w:type="auto"/>
            <w:gridSpan w:val="6"/>
            <w:tcBorders>
              <w:top w:val="nil"/>
              <w:left w:val="nil"/>
              <w:bottom w:val="nil"/>
              <w:right w:val="nil"/>
            </w:tcBorders>
            <w:noWrap/>
            <w:vAlign w:val="center"/>
            <w:hideMark/>
          </w:tcPr>
          <w:p w14:paraId="6DB06247" w14:textId="7D05AE61" w:rsidR="00D507DE" w:rsidRPr="005A4C7D" w:rsidRDefault="00D507DE" w:rsidP="00A4655D">
            <w:pPr>
              <w:rPr>
                <w:i/>
                <w:sz w:val="16"/>
              </w:rPr>
            </w:pPr>
            <w:r w:rsidRPr="005A4C7D">
              <w:rPr>
                <w:i/>
                <w:sz w:val="16"/>
              </w:rPr>
              <w:t>Note: Processed with STATA</w:t>
            </w:r>
            <w:r w:rsidR="0081742D">
              <w:rPr>
                <w:i/>
                <w:sz w:val="16"/>
              </w:rPr>
              <w:t xml:space="preserve">. </w:t>
            </w:r>
            <w:r w:rsidRPr="005A4C7D">
              <w:rPr>
                <w:i/>
                <w:sz w:val="16"/>
              </w:rPr>
              <w:t>Data sources are from ADB (2020) and World Bank (2020)</w:t>
            </w:r>
          </w:p>
          <w:p w14:paraId="22B74018" w14:textId="06E6231E" w:rsidR="00D507DE" w:rsidRPr="005A4C7D" w:rsidRDefault="00D507DE" w:rsidP="00A4655D">
            <w:pPr>
              <w:rPr>
                <w:i/>
                <w:sz w:val="20"/>
              </w:rPr>
            </w:pPr>
            <w:r w:rsidRPr="005A4C7D">
              <w:rPr>
                <w:i/>
                <w:sz w:val="16"/>
              </w:rPr>
              <w:t>FP = Fractional Polynomial; 1 and 2 are the maximum degree of FP being 2 is STATA</w:t>
            </w:r>
            <w:r w:rsidR="00B5685E" w:rsidRPr="005A4C7D">
              <w:rPr>
                <w:i/>
                <w:sz w:val="16"/>
              </w:rPr>
              <w:t>’</w:t>
            </w:r>
            <w:r w:rsidRPr="005A4C7D">
              <w:rPr>
                <w:i/>
                <w:sz w:val="16"/>
              </w:rPr>
              <w:t>s default</w:t>
            </w:r>
          </w:p>
        </w:tc>
        <w:tc>
          <w:tcPr>
            <w:tcW w:w="0" w:type="auto"/>
            <w:tcBorders>
              <w:top w:val="nil"/>
              <w:left w:val="nil"/>
              <w:bottom w:val="nil"/>
              <w:right w:val="nil"/>
            </w:tcBorders>
            <w:noWrap/>
            <w:vAlign w:val="bottom"/>
            <w:hideMark/>
          </w:tcPr>
          <w:p w14:paraId="6B22ADC3" w14:textId="77777777" w:rsidR="00D507DE" w:rsidRPr="005A4C7D" w:rsidRDefault="00D507DE" w:rsidP="00A4655D">
            <w:pPr>
              <w:rPr>
                <w:i/>
                <w:sz w:val="20"/>
              </w:rPr>
            </w:pPr>
          </w:p>
        </w:tc>
      </w:tr>
    </w:tbl>
    <w:p w14:paraId="03FCD94D" w14:textId="77777777" w:rsidR="00D507DE" w:rsidRPr="005A4C7D" w:rsidRDefault="00D507DE" w:rsidP="00D507DE"/>
    <w:p w14:paraId="16292329" w14:textId="77777777" w:rsidR="00D507DE" w:rsidRPr="005A4C7D" w:rsidRDefault="00D507DE" w:rsidP="00D507DE"/>
    <w:p w14:paraId="43369A9C" w14:textId="77777777" w:rsidR="00D507DE" w:rsidRPr="005A4C7D" w:rsidRDefault="00D507DE" w:rsidP="00D507DE"/>
    <w:p w14:paraId="20D62DC9" w14:textId="77777777" w:rsidR="00D507DE" w:rsidRPr="005A4C7D" w:rsidRDefault="00D507DE" w:rsidP="00D507DE"/>
    <w:p w14:paraId="53A74D10" w14:textId="77777777" w:rsidR="00D507DE" w:rsidRPr="005A4C7D" w:rsidRDefault="00D507DE" w:rsidP="00D507DE"/>
    <w:p w14:paraId="54443EDF" w14:textId="77777777" w:rsidR="00D507DE" w:rsidRPr="005A4C7D" w:rsidRDefault="00D507DE" w:rsidP="00D507DE"/>
    <w:p w14:paraId="592CC59B" w14:textId="77777777" w:rsidR="00D507DE" w:rsidRPr="005A4C7D" w:rsidRDefault="00D507DE" w:rsidP="00D507DE"/>
    <w:p w14:paraId="25A5A7EC" w14:textId="77777777" w:rsidR="00D507DE" w:rsidRPr="005A4C7D" w:rsidRDefault="00D507DE" w:rsidP="00D507DE"/>
    <w:p w14:paraId="5F27CFB1" w14:textId="77777777" w:rsidR="00D507DE" w:rsidRPr="005A4C7D" w:rsidRDefault="00D507DE" w:rsidP="00D507DE"/>
    <w:p w14:paraId="155793AB" w14:textId="77777777" w:rsidR="00D507DE" w:rsidRPr="005A4C7D" w:rsidRDefault="00D507DE" w:rsidP="00D507DE"/>
    <w:p w14:paraId="5BC8BCD8" w14:textId="77777777" w:rsidR="00D507DE" w:rsidRPr="005A4C7D" w:rsidRDefault="00D507DE" w:rsidP="00D507DE"/>
    <w:p w14:paraId="113B2AE1" w14:textId="77777777" w:rsidR="00915A90" w:rsidRPr="005A4C7D" w:rsidRDefault="00915A90">
      <w:pPr>
        <w:ind w:left="567" w:hanging="567"/>
        <w:jc w:val="both"/>
        <w:rPr>
          <w:sz w:val="20"/>
        </w:rPr>
      </w:pPr>
    </w:p>
    <w:p w14:paraId="15C2EA0F" w14:textId="77777777" w:rsidR="00915A90" w:rsidRPr="005A4C7D" w:rsidRDefault="006C07C3">
      <w:pPr>
        <w:spacing w:after="160" w:line="259" w:lineRule="auto"/>
        <w:rPr>
          <w:b/>
        </w:rPr>
      </w:pPr>
      <w:r w:rsidRPr="005A4C7D">
        <w:rPr>
          <w:sz w:val="20"/>
        </w:rPr>
        <w:br w:type="page"/>
      </w:r>
      <w:r w:rsidRPr="005A4C7D">
        <w:rPr>
          <w:b/>
        </w:rPr>
        <w:lastRenderedPageBreak/>
        <w:t>Appendix-A: Indonesia ADB Loans Unemployment Attributors Estimated Annually</w:t>
      </w:r>
    </w:p>
    <w:p w14:paraId="719A09E7" w14:textId="60A25319" w:rsidR="00915A90" w:rsidRPr="005A4C7D" w:rsidRDefault="00D34E35">
      <w:pPr>
        <w:ind w:left="567" w:hanging="567"/>
        <w:jc w:val="both"/>
        <w:rPr>
          <w:sz w:val="20"/>
        </w:rPr>
      </w:pPr>
      <w:r w:rsidRPr="005A4C7D">
        <w:rPr>
          <w:noProof/>
        </w:rPr>
        <w:drawing>
          <wp:inline distT="0" distB="0" distL="0" distR="0" wp14:anchorId="3E44FA17" wp14:editId="1AA5AB1E">
            <wp:extent cx="5746750" cy="8369300"/>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46750" cy="8369300"/>
                    </a:xfrm>
                    <a:prstGeom prst="rect">
                      <a:avLst/>
                    </a:prstGeom>
                    <a:solidFill>
                      <a:srgbClr val="FFFFFF"/>
                    </a:solidFill>
                    <a:ln>
                      <a:noFill/>
                    </a:ln>
                  </pic:spPr>
                </pic:pic>
              </a:graphicData>
            </a:graphic>
          </wp:inline>
        </w:drawing>
      </w:r>
    </w:p>
    <w:p w14:paraId="3D7AD58F" w14:textId="77777777" w:rsidR="00915A90" w:rsidRPr="005A4C7D" w:rsidRDefault="00915A90">
      <w:pPr>
        <w:ind w:left="567" w:hanging="567"/>
        <w:jc w:val="both"/>
        <w:rPr>
          <w:sz w:val="20"/>
        </w:rPr>
      </w:pPr>
    </w:p>
    <w:p w14:paraId="2C5FA57E" w14:textId="77777777" w:rsidR="00915A90" w:rsidRPr="005A4C7D" w:rsidRDefault="006C07C3" w:rsidP="004B228E">
      <w:pPr>
        <w:jc w:val="both"/>
        <w:rPr>
          <w:b/>
        </w:rPr>
      </w:pPr>
      <w:r w:rsidRPr="005A4C7D">
        <w:rPr>
          <w:b/>
        </w:rPr>
        <w:lastRenderedPageBreak/>
        <w:t>Appendix-B: Indonesia ADB Loans Unemployment Attributors Based on Total Average</w:t>
      </w:r>
    </w:p>
    <w:p w14:paraId="6C5CA4BE" w14:textId="544F0E52" w:rsidR="00915A90" w:rsidRPr="005A4C7D" w:rsidRDefault="00D34E35">
      <w:pPr>
        <w:ind w:left="567" w:hanging="567"/>
        <w:jc w:val="center"/>
      </w:pPr>
      <w:r w:rsidRPr="005A4C7D">
        <w:rPr>
          <w:noProof/>
        </w:rPr>
        <w:drawing>
          <wp:inline distT="0" distB="0" distL="0" distR="0" wp14:anchorId="773B144D" wp14:editId="6C1748C1">
            <wp:extent cx="4254500" cy="8115300"/>
            <wp:effectExtent l="0" t="0" r="0" b="0"/>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preferRelativeResize="0">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4500" cy="8115300"/>
                    </a:xfrm>
                    <a:prstGeom prst="rect">
                      <a:avLst/>
                    </a:prstGeom>
                    <a:solidFill>
                      <a:srgbClr val="FFFFFF"/>
                    </a:solidFill>
                    <a:ln>
                      <a:noFill/>
                    </a:ln>
                  </pic:spPr>
                </pic:pic>
              </a:graphicData>
            </a:graphic>
          </wp:inline>
        </w:drawing>
      </w:r>
    </w:p>
    <w:p w14:paraId="39290249" w14:textId="77777777" w:rsidR="00915A90" w:rsidRPr="005A4C7D" w:rsidRDefault="00915A90">
      <w:pPr>
        <w:ind w:left="567" w:hanging="567"/>
        <w:jc w:val="both"/>
        <w:rPr>
          <w:sz w:val="20"/>
        </w:rPr>
      </w:pPr>
    </w:p>
    <w:p w14:paraId="3EFBED61" w14:textId="4D251E20" w:rsidR="00915A90" w:rsidRPr="005A4C7D" w:rsidRDefault="006C07C3">
      <w:pPr>
        <w:ind w:left="567" w:hanging="567"/>
        <w:jc w:val="center"/>
        <w:rPr>
          <w:b/>
        </w:rPr>
      </w:pPr>
      <w:r w:rsidRPr="005A4C7D">
        <w:rPr>
          <w:b/>
        </w:rPr>
        <w:t>Appendix-C: Indonesia ADB Loans Data (1969</w:t>
      </w:r>
      <w:r w:rsidR="00E97817">
        <w:rPr>
          <w:b/>
          <w:lang w:val="en-US"/>
        </w:rPr>
        <w:t>-</w:t>
      </w:r>
      <w:r w:rsidRPr="005A4C7D">
        <w:rPr>
          <w:b/>
        </w:rPr>
        <w:t>2017)</w:t>
      </w:r>
    </w:p>
    <w:p w14:paraId="61CE7ABA" w14:textId="3C94CE4F" w:rsidR="00915A90" w:rsidRPr="005A4C7D" w:rsidRDefault="00D34E35">
      <w:pPr>
        <w:ind w:left="567" w:hanging="567"/>
        <w:jc w:val="center"/>
      </w:pPr>
      <w:r w:rsidRPr="005A4C7D">
        <w:rPr>
          <w:noProof/>
        </w:rPr>
        <w:lastRenderedPageBreak/>
        <w:drawing>
          <wp:inline distT="0" distB="0" distL="0" distR="0" wp14:anchorId="3086C6E8" wp14:editId="1BA10619">
            <wp:extent cx="4660900" cy="8413750"/>
            <wp:effectExtent l="19050" t="19050" r="25400" b="2540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preferRelativeResize="0">
                      <a:picLocks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60900" cy="8413750"/>
                    </a:xfrm>
                    <a:prstGeom prst="rect">
                      <a:avLst/>
                    </a:prstGeom>
                    <a:solidFill>
                      <a:srgbClr val="FFFFFF"/>
                    </a:solidFill>
                    <a:ln>
                      <a:solidFill>
                        <a:schemeClr val="tx1"/>
                      </a:solidFill>
                    </a:ln>
                  </pic:spPr>
                </pic:pic>
              </a:graphicData>
            </a:graphic>
          </wp:inline>
        </w:drawing>
      </w:r>
    </w:p>
    <w:p w14:paraId="49471F44" w14:textId="3D375B6B" w:rsidR="00915A90" w:rsidRPr="005A4C7D" w:rsidRDefault="00017CBE">
      <w:pPr>
        <w:ind w:left="567" w:hanging="567"/>
        <w:jc w:val="center"/>
        <w:rPr>
          <w:sz w:val="20"/>
        </w:rPr>
      </w:pPr>
      <w:r w:rsidRPr="005A4C7D">
        <w:rPr>
          <w:noProof/>
        </w:rPr>
        <w:lastRenderedPageBreak/>
        <w:drawing>
          <wp:inline distT="0" distB="0" distL="0" distR="0" wp14:anchorId="59CEF556" wp14:editId="489FF71C">
            <wp:extent cx="4661522" cy="9064576"/>
            <wp:effectExtent l="19050" t="19050" r="25400" b="228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63703" cy="9068818"/>
                    </a:xfrm>
                    <a:prstGeom prst="rect">
                      <a:avLst/>
                    </a:prstGeom>
                    <a:solidFill>
                      <a:srgbClr val="FFFFFF"/>
                    </a:solidFill>
                    <a:ln>
                      <a:solidFill>
                        <a:schemeClr val="tx1"/>
                      </a:solidFill>
                    </a:ln>
                  </pic:spPr>
                </pic:pic>
              </a:graphicData>
            </a:graphic>
          </wp:inline>
        </w:drawing>
      </w:r>
    </w:p>
    <w:p w14:paraId="48874A8B" w14:textId="77777777" w:rsidR="00915A90" w:rsidRPr="005A4C7D" w:rsidRDefault="00915A90">
      <w:pPr>
        <w:ind w:left="567" w:hanging="567"/>
        <w:jc w:val="center"/>
        <w:rPr>
          <w:sz w:val="20"/>
        </w:rPr>
      </w:pPr>
    </w:p>
    <w:p w14:paraId="0943A458" w14:textId="77777777" w:rsidR="00915A90" w:rsidRPr="005A4C7D" w:rsidRDefault="006C07C3">
      <w:pPr>
        <w:ind w:left="567" w:hanging="567"/>
        <w:jc w:val="center"/>
        <w:rPr>
          <w:b/>
        </w:rPr>
      </w:pPr>
      <w:r w:rsidRPr="005A4C7D">
        <w:rPr>
          <w:b/>
        </w:rPr>
        <w:t>Appendix-D: Summary Statistics</w:t>
      </w:r>
    </w:p>
    <w:p w14:paraId="03048263" w14:textId="006A0902" w:rsidR="00915A90" w:rsidRPr="005A4C7D" w:rsidRDefault="00D34E35">
      <w:pPr>
        <w:ind w:left="567" w:hanging="567"/>
        <w:jc w:val="center"/>
        <w:rPr>
          <w:sz w:val="20"/>
        </w:rPr>
      </w:pPr>
      <w:r w:rsidRPr="005A4C7D">
        <w:rPr>
          <w:noProof/>
        </w:rPr>
        <w:drawing>
          <wp:inline distT="0" distB="0" distL="0" distR="0" wp14:anchorId="61CE478D" wp14:editId="7E939FE5">
            <wp:extent cx="5537200" cy="92075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37200" cy="920750"/>
                    </a:xfrm>
                    <a:prstGeom prst="rect">
                      <a:avLst/>
                    </a:prstGeom>
                    <a:solidFill>
                      <a:srgbClr val="FFFFFF"/>
                    </a:solidFill>
                    <a:ln>
                      <a:noFill/>
                    </a:ln>
                  </pic:spPr>
                </pic:pic>
              </a:graphicData>
            </a:graphic>
          </wp:inline>
        </w:drawing>
      </w:r>
    </w:p>
    <w:p w14:paraId="5F0ACF34" w14:textId="77777777" w:rsidR="00915A90" w:rsidRPr="005A4C7D" w:rsidRDefault="00915A90">
      <w:pPr>
        <w:ind w:left="567" w:hanging="567"/>
        <w:jc w:val="center"/>
        <w:rPr>
          <w:sz w:val="20"/>
        </w:rPr>
      </w:pPr>
    </w:p>
    <w:p w14:paraId="3CBBE36C" w14:textId="0B3B2CB5" w:rsidR="00915A90" w:rsidRPr="005A4C7D" w:rsidRDefault="00915A90">
      <w:pPr>
        <w:ind w:left="567" w:hanging="567"/>
        <w:jc w:val="both"/>
        <w:rPr>
          <w:sz w:val="20"/>
        </w:rPr>
      </w:pPr>
    </w:p>
    <w:p w14:paraId="782ED7B2" w14:textId="3815AD7E" w:rsidR="00CA650E" w:rsidRPr="005A4C7D" w:rsidRDefault="00CA650E">
      <w:pPr>
        <w:spacing w:after="160" w:line="259" w:lineRule="auto"/>
        <w:rPr>
          <w:sz w:val="20"/>
        </w:rPr>
      </w:pPr>
      <w:r w:rsidRPr="005A4C7D">
        <w:rPr>
          <w:sz w:val="20"/>
        </w:rPr>
        <w:br w:type="page"/>
      </w:r>
    </w:p>
    <w:p w14:paraId="32AD8EEB" w14:textId="77777777" w:rsidR="00CA650E" w:rsidRPr="005A4C7D" w:rsidRDefault="00CA650E">
      <w:pPr>
        <w:ind w:left="567" w:hanging="567"/>
        <w:jc w:val="both"/>
        <w:rPr>
          <w:sz w:val="20"/>
        </w:rPr>
      </w:pPr>
    </w:p>
    <w:p w14:paraId="0F107570" w14:textId="77777777" w:rsidR="00915A90" w:rsidRPr="005A4C7D" w:rsidRDefault="006C07C3">
      <w:pPr>
        <w:ind w:left="567" w:hanging="567"/>
        <w:jc w:val="center"/>
        <w:rPr>
          <w:b/>
        </w:rPr>
      </w:pPr>
      <w:r w:rsidRPr="005A4C7D">
        <w:rPr>
          <w:b/>
        </w:rPr>
        <w:t>Appendix-E: Granger-causality Test</w:t>
      </w:r>
    </w:p>
    <w:p w14:paraId="0575FCF1" w14:textId="0B3C834D" w:rsidR="00915A90" w:rsidRPr="005A4C7D" w:rsidRDefault="00D34E35">
      <w:pPr>
        <w:ind w:left="567" w:hanging="567"/>
        <w:jc w:val="center"/>
        <w:rPr>
          <w:sz w:val="20"/>
        </w:rPr>
      </w:pPr>
      <w:r w:rsidRPr="005A4C7D">
        <w:rPr>
          <w:noProof/>
        </w:rPr>
        <w:drawing>
          <wp:inline distT="0" distB="0" distL="0" distR="0" wp14:anchorId="419BDA98" wp14:editId="464989EA">
            <wp:extent cx="5378450" cy="301816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79596" cy="3018803"/>
                    </a:xfrm>
                    <a:prstGeom prst="rect">
                      <a:avLst/>
                    </a:prstGeom>
                    <a:solidFill>
                      <a:srgbClr val="FFFFFF"/>
                    </a:solidFill>
                    <a:ln>
                      <a:noFill/>
                    </a:ln>
                  </pic:spPr>
                </pic:pic>
              </a:graphicData>
            </a:graphic>
          </wp:inline>
        </w:drawing>
      </w:r>
    </w:p>
    <w:p w14:paraId="1A756652" w14:textId="4750A689" w:rsidR="00915A90" w:rsidRPr="005A4C7D" w:rsidRDefault="00915A90">
      <w:pPr>
        <w:ind w:left="567" w:hanging="567"/>
        <w:jc w:val="center"/>
        <w:rPr>
          <w:sz w:val="20"/>
        </w:rPr>
      </w:pPr>
    </w:p>
    <w:p w14:paraId="7C11B573" w14:textId="4E6AFB41" w:rsidR="00CA650E" w:rsidRPr="005A4C7D" w:rsidRDefault="00CA650E">
      <w:pPr>
        <w:spacing w:after="160" w:line="259" w:lineRule="auto"/>
        <w:rPr>
          <w:sz w:val="20"/>
        </w:rPr>
      </w:pPr>
      <w:r w:rsidRPr="005A4C7D">
        <w:rPr>
          <w:sz w:val="20"/>
        </w:rPr>
        <w:br w:type="page"/>
      </w:r>
    </w:p>
    <w:p w14:paraId="7935DDD4" w14:textId="77777777" w:rsidR="00CA650E" w:rsidRPr="005A4C7D" w:rsidRDefault="00CA650E">
      <w:pPr>
        <w:ind w:left="567" w:hanging="567"/>
        <w:jc w:val="center"/>
        <w:rPr>
          <w:sz w:val="20"/>
        </w:rPr>
      </w:pPr>
    </w:p>
    <w:p w14:paraId="24E3172E" w14:textId="77777777" w:rsidR="00915A90" w:rsidRPr="005A4C7D" w:rsidRDefault="006C07C3">
      <w:pPr>
        <w:ind w:left="567" w:hanging="567"/>
        <w:jc w:val="center"/>
        <w:rPr>
          <w:b/>
        </w:rPr>
      </w:pPr>
      <w:r w:rsidRPr="005A4C7D">
        <w:rPr>
          <w:b/>
        </w:rPr>
        <w:t>Appendix-F: Spearman Correlation Test</w:t>
      </w:r>
    </w:p>
    <w:p w14:paraId="36FD0CD0" w14:textId="03058106" w:rsidR="00915A90" w:rsidRPr="005A4C7D" w:rsidRDefault="00D34E35">
      <w:pPr>
        <w:ind w:left="567" w:hanging="567"/>
        <w:jc w:val="center"/>
        <w:rPr>
          <w:sz w:val="20"/>
        </w:rPr>
      </w:pPr>
      <w:r w:rsidRPr="005A4C7D">
        <w:rPr>
          <w:noProof/>
        </w:rPr>
        <w:drawing>
          <wp:inline distT="0" distB="0" distL="0" distR="0" wp14:anchorId="131DC20D" wp14:editId="220A5290">
            <wp:extent cx="4178300" cy="2685650"/>
            <wp:effectExtent l="0" t="0" r="0" b="63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81482" cy="2687695"/>
                    </a:xfrm>
                    <a:prstGeom prst="rect">
                      <a:avLst/>
                    </a:prstGeom>
                    <a:solidFill>
                      <a:srgbClr val="FFFFFF"/>
                    </a:solidFill>
                    <a:ln>
                      <a:noFill/>
                    </a:ln>
                  </pic:spPr>
                </pic:pic>
              </a:graphicData>
            </a:graphic>
          </wp:inline>
        </w:drawing>
      </w:r>
    </w:p>
    <w:p w14:paraId="24E15DE2" w14:textId="77777777" w:rsidR="00915A90" w:rsidRPr="005A4C7D" w:rsidRDefault="00915A90">
      <w:pPr>
        <w:ind w:left="567" w:hanging="567"/>
        <w:jc w:val="center"/>
        <w:rPr>
          <w:sz w:val="20"/>
        </w:rPr>
      </w:pPr>
    </w:p>
    <w:p w14:paraId="74DB642A" w14:textId="77777777" w:rsidR="00915A90" w:rsidRPr="005A4C7D" w:rsidRDefault="00915A90"/>
    <w:sectPr w:rsidR="00915A90" w:rsidRPr="005A4C7D">
      <w:pgSz w:w="11906" w:h="16838"/>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7AFD52" w14:textId="77777777" w:rsidR="009A4812" w:rsidRDefault="009A4812">
      <w:r>
        <w:separator/>
      </w:r>
    </w:p>
  </w:endnote>
  <w:endnote w:type="continuationSeparator" w:id="0">
    <w:p w14:paraId="05BE8617" w14:textId="77777777" w:rsidR="009A4812" w:rsidRDefault="009A4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Condensed">
    <w:altName w:val="Arial"/>
    <w:panose1 w:val="00000000000000000000"/>
    <w:charset w:val="00"/>
    <w:family w:val="swiss"/>
    <w:notTrueType/>
    <w:pitch w:val="variable"/>
    <w:sig w:usb0="00000003" w:usb1="00000000" w:usb2="00000000" w:usb3="00000000" w:csb0="00000001" w:csb1="00000000"/>
  </w:font>
  <w:font w:name="Times-Italic">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Raleway-Regular">
    <w:altName w:val="Trebuchet MS"/>
    <w:panose1 w:val="00000000000000000000"/>
    <w:charset w:val="00"/>
    <w:family w:val="roman"/>
    <w:notTrueType/>
    <w:pitch w:val="default"/>
  </w:font>
  <w:font w:name="AdvOTd877c31c+20">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84BB6F" w14:textId="77777777" w:rsidR="009A4812" w:rsidRDefault="009A4812">
      <w:r>
        <w:separator/>
      </w:r>
    </w:p>
  </w:footnote>
  <w:footnote w:type="continuationSeparator" w:id="0">
    <w:p w14:paraId="5F3DAA06" w14:textId="77777777" w:rsidR="009A4812" w:rsidRDefault="009A4812">
      <w:r>
        <w:continuationSeparator/>
      </w:r>
    </w:p>
  </w:footnote>
  <w:footnote w:id="1">
    <w:p w14:paraId="54953A69" w14:textId="77777777" w:rsidR="00E51683" w:rsidRPr="004754C1" w:rsidRDefault="00E51683" w:rsidP="00137F8E">
      <w:pPr>
        <w:shd w:val="clear" w:color="auto" w:fill="FFFFFF"/>
        <w:ind w:left="284" w:hanging="284"/>
        <w:jc w:val="both"/>
        <w:rPr>
          <w:sz w:val="16"/>
          <w:szCs w:val="16"/>
        </w:rPr>
      </w:pPr>
      <w:r w:rsidRPr="004754C1">
        <w:rPr>
          <w:sz w:val="16"/>
          <w:szCs w:val="16"/>
          <w:vertAlign w:val="superscript"/>
        </w:rPr>
        <w:footnoteRef/>
      </w:r>
      <w:r w:rsidRPr="004754C1">
        <w:rPr>
          <w:sz w:val="16"/>
          <w:szCs w:val="16"/>
        </w:rPr>
        <w:t xml:space="preserve">   </w:t>
      </w:r>
      <w:r w:rsidRPr="004754C1">
        <w:rPr>
          <w:sz w:val="16"/>
          <w:szCs w:val="16"/>
        </w:rPr>
        <w:tab/>
      </w:r>
      <w:r w:rsidRPr="004754C1">
        <w:rPr>
          <w:color w:val="222222"/>
          <w:sz w:val="16"/>
          <w:szCs w:val="16"/>
          <w:highlight w:val="white"/>
        </w:rPr>
        <w:t>The Organization for Economic Co-operation and Development</w:t>
      </w:r>
    </w:p>
  </w:footnote>
  <w:footnote w:id="2">
    <w:p w14:paraId="7BEEA8E1" w14:textId="77777777" w:rsidR="00E51683" w:rsidRPr="004754C1" w:rsidRDefault="00E51683" w:rsidP="00137F8E">
      <w:pPr>
        <w:shd w:val="clear" w:color="auto" w:fill="FFFFFF"/>
        <w:ind w:left="284" w:hanging="284"/>
        <w:jc w:val="both"/>
        <w:rPr>
          <w:sz w:val="16"/>
          <w:szCs w:val="16"/>
        </w:rPr>
      </w:pPr>
      <w:r w:rsidRPr="004754C1">
        <w:rPr>
          <w:sz w:val="16"/>
          <w:szCs w:val="16"/>
          <w:vertAlign w:val="superscript"/>
        </w:rPr>
        <w:footnoteRef/>
      </w:r>
      <w:r w:rsidRPr="004754C1">
        <w:rPr>
          <w:sz w:val="16"/>
          <w:szCs w:val="16"/>
        </w:rPr>
        <w:t xml:space="preserve">  </w:t>
      </w:r>
      <w:r w:rsidRPr="004754C1">
        <w:rPr>
          <w:sz w:val="16"/>
          <w:szCs w:val="16"/>
        </w:rPr>
        <w:tab/>
        <w:t xml:space="preserve">Loans, grants, technical assistance (TAs), and in-kind assistance are categorized as aid (OECD, 2020). https://data.oecd.org/oda/net-oda.htm (25 Aug 2020)  </w:t>
      </w:r>
    </w:p>
  </w:footnote>
  <w:footnote w:id="3">
    <w:p w14:paraId="0DD1BEAC" w14:textId="77777777" w:rsidR="00E51683" w:rsidRPr="004754C1" w:rsidRDefault="00E51683" w:rsidP="00137F8E">
      <w:pPr>
        <w:pBdr>
          <w:top w:val="nil"/>
          <w:left w:val="nil"/>
          <w:bottom w:val="nil"/>
          <w:right w:val="nil"/>
          <w:between w:val="nil"/>
        </w:pBdr>
        <w:ind w:left="284" w:hanging="284"/>
        <w:rPr>
          <w:sz w:val="16"/>
          <w:szCs w:val="16"/>
        </w:rPr>
      </w:pPr>
      <w:r w:rsidRPr="004754C1">
        <w:rPr>
          <w:sz w:val="16"/>
          <w:szCs w:val="16"/>
          <w:vertAlign w:val="superscript"/>
        </w:rPr>
        <w:footnoteRef/>
      </w:r>
      <w:r w:rsidRPr="004754C1">
        <w:rPr>
          <w:sz w:val="16"/>
          <w:szCs w:val="16"/>
        </w:rPr>
        <w:t xml:space="preserve">     ADB, 2018 Annual Portfolio Performance Report (APPR)</w:t>
      </w:r>
    </w:p>
  </w:footnote>
  <w:footnote w:id="4">
    <w:p w14:paraId="428C7492" w14:textId="77777777" w:rsidR="00E51683" w:rsidRPr="004754C1" w:rsidRDefault="00E51683" w:rsidP="00137F8E">
      <w:pPr>
        <w:ind w:left="284" w:hanging="284"/>
        <w:jc w:val="both"/>
        <w:rPr>
          <w:sz w:val="16"/>
          <w:szCs w:val="16"/>
        </w:rPr>
      </w:pPr>
      <w:r w:rsidRPr="004754C1">
        <w:rPr>
          <w:sz w:val="16"/>
          <w:szCs w:val="16"/>
          <w:vertAlign w:val="superscript"/>
        </w:rPr>
        <w:footnoteRef/>
      </w:r>
      <w:r w:rsidRPr="004754C1">
        <w:rPr>
          <w:sz w:val="16"/>
          <w:szCs w:val="16"/>
        </w:rPr>
        <w:t xml:space="preserve"> </w:t>
      </w:r>
      <w:r w:rsidRPr="004754C1">
        <w:rPr>
          <w:sz w:val="16"/>
          <w:szCs w:val="16"/>
        </w:rPr>
        <w:tab/>
        <w:t xml:space="preserve">See McKee et all (2020) footnote 16 for more detailed elaborations on aid promotes or discourages growth at https://www.cgdev.org/sites/default/files/WP524-McKee-Mitchell-Aid-Effectiveness.pdf (14 Dec 2020) </w:t>
      </w:r>
    </w:p>
  </w:footnote>
  <w:footnote w:id="5">
    <w:p w14:paraId="2160E5B3" w14:textId="77777777" w:rsidR="00E51683" w:rsidRPr="004754C1" w:rsidRDefault="00E51683" w:rsidP="00137F8E">
      <w:pPr>
        <w:ind w:left="284" w:hanging="284"/>
        <w:jc w:val="both"/>
        <w:rPr>
          <w:sz w:val="16"/>
          <w:szCs w:val="16"/>
        </w:rPr>
      </w:pPr>
      <w:r w:rsidRPr="004754C1">
        <w:rPr>
          <w:sz w:val="16"/>
          <w:szCs w:val="16"/>
          <w:vertAlign w:val="superscript"/>
        </w:rPr>
        <w:footnoteRef/>
      </w:r>
      <w:r w:rsidRPr="004754C1">
        <w:rPr>
          <w:sz w:val="16"/>
          <w:szCs w:val="16"/>
        </w:rPr>
        <w:t xml:space="preserve"> </w:t>
      </w:r>
      <w:r w:rsidRPr="004754C1">
        <w:rPr>
          <w:sz w:val="16"/>
          <w:szCs w:val="16"/>
        </w:rPr>
        <w:tab/>
        <w:t>Developing countries lose $2 for every $1 they earn. https://www.euractiv.com/section/development-policy/opinion/developing-countries-lose-2-for-every-1-they-earn/?fbclid=IwAR1-sYzJR0cWMFVtBiaBOuSe3Kp3RWqtlW70wG8f8mgJoGYvl7e4qxTItmU (23 Dec 2020)</w:t>
      </w:r>
    </w:p>
  </w:footnote>
  <w:footnote w:id="6">
    <w:p w14:paraId="1D58C3A5" w14:textId="77777777" w:rsidR="00E51683" w:rsidRPr="004754C1" w:rsidRDefault="00E51683" w:rsidP="00137F8E">
      <w:pPr>
        <w:ind w:left="284" w:hanging="284"/>
        <w:jc w:val="both"/>
        <w:rPr>
          <w:sz w:val="16"/>
          <w:szCs w:val="16"/>
        </w:rPr>
      </w:pPr>
      <w:r w:rsidRPr="004754C1">
        <w:rPr>
          <w:sz w:val="16"/>
          <w:szCs w:val="16"/>
          <w:vertAlign w:val="superscript"/>
        </w:rPr>
        <w:footnoteRef/>
      </w:r>
      <w:r w:rsidRPr="004754C1">
        <w:rPr>
          <w:sz w:val="16"/>
          <w:szCs w:val="16"/>
        </w:rPr>
        <w:t xml:space="preserve">      Adopted based on Indonesia, Article 62.b, Law No.23 (1999) on Bank Indonesia.</w:t>
      </w:r>
    </w:p>
  </w:footnote>
  <w:footnote w:id="7">
    <w:p w14:paraId="71564C95" w14:textId="77777777" w:rsidR="00E51683" w:rsidRPr="004754C1" w:rsidRDefault="00E51683" w:rsidP="00137F8E">
      <w:pPr>
        <w:pBdr>
          <w:top w:val="nil"/>
          <w:left w:val="nil"/>
          <w:bottom w:val="nil"/>
          <w:right w:val="nil"/>
          <w:between w:val="nil"/>
        </w:pBdr>
        <w:ind w:left="284" w:hanging="284"/>
        <w:rPr>
          <w:sz w:val="16"/>
          <w:szCs w:val="16"/>
        </w:rPr>
      </w:pPr>
      <w:r w:rsidRPr="004754C1">
        <w:rPr>
          <w:sz w:val="16"/>
          <w:szCs w:val="16"/>
          <w:vertAlign w:val="superscript"/>
        </w:rPr>
        <w:footnoteRef/>
      </w:r>
      <w:r w:rsidRPr="004754C1">
        <w:rPr>
          <w:sz w:val="16"/>
          <w:szCs w:val="16"/>
        </w:rPr>
        <w:t xml:space="preserve"> </w:t>
      </w:r>
      <w:r w:rsidRPr="004754C1">
        <w:rPr>
          <w:sz w:val="16"/>
          <w:szCs w:val="16"/>
        </w:rPr>
        <w:tab/>
        <w:t>Federal Reserve Bank, the central bank of the US.</w:t>
      </w:r>
    </w:p>
  </w:footnote>
  <w:footnote w:id="8">
    <w:p w14:paraId="16C4E073" w14:textId="77777777" w:rsidR="00E51683" w:rsidRPr="004754C1" w:rsidRDefault="00E51683" w:rsidP="00137F8E">
      <w:pPr>
        <w:pBdr>
          <w:top w:val="nil"/>
          <w:left w:val="nil"/>
          <w:bottom w:val="nil"/>
          <w:right w:val="nil"/>
          <w:between w:val="nil"/>
        </w:pBdr>
        <w:ind w:left="284" w:hanging="284"/>
        <w:rPr>
          <w:sz w:val="16"/>
          <w:szCs w:val="16"/>
        </w:rPr>
      </w:pPr>
      <w:r w:rsidRPr="004754C1">
        <w:rPr>
          <w:sz w:val="16"/>
          <w:szCs w:val="16"/>
          <w:vertAlign w:val="superscript"/>
        </w:rPr>
        <w:footnoteRef/>
      </w:r>
      <w:r w:rsidRPr="004754C1">
        <w:rPr>
          <w:sz w:val="16"/>
          <w:szCs w:val="16"/>
        </w:rPr>
        <w:t xml:space="preserve">   </w:t>
      </w:r>
      <w:r w:rsidRPr="004754C1">
        <w:rPr>
          <w:sz w:val="16"/>
          <w:szCs w:val="16"/>
        </w:rPr>
        <w:tab/>
        <w:t>ADB Information Statement 2020. https://www.adb.org/sites/default/files/institutional-document/417506/information-statement-2020.pdf (25 Aug 2020)</w:t>
      </w:r>
      <w:r w:rsidRPr="004754C1">
        <w:rPr>
          <w:sz w:val="16"/>
          <w:szCs w:val="16"/>
        </w:rPr>
        <w:tab/>
      </w:r>
    </w:p>
  </w:footnote>
  <w:footnote w:id="9">
    <w:p w14:paraId="04EDE6A1" w14:textId="35DED852" w:rsidR="00E51683" w:rsidRPr="004754C1" w:rsidRDefault="00E51683">
      <w:pPr>
        <w:pStyle w:val="FootnoteText"/>
        <w:rPr>
          <w:rFonts w:ascii="Times New Roman" w:hAnsi="Times New Roman"/>
          <w:sz w:val="16"/>
          <w:szCs w:val="16"/>
          <w:lang w:val="en-US"/>
        </w:rPr>
      </w:pPr>
      <w:r w:rsidRPr="004754C1">
        <w:rPr>
          <w:rStyle w:val="FootnoteReference"/>
          <w:rFonts w:ascii="Times New Roman" w:hAnsi="Times New Roman"/>
          <w:sz w:val="16"/>
          <w:szCs w:val="16"/>
        </w:rPr>
        <w:footnoteRef/>
      </w:r>
      <w:r w:rsidRPr="004754C1">
        <w:rPr>
          <w:rFonts w:ascii="Times New Roman" w:hAnsi="Times New Roman"/>
          <w:sz w:val="16"/>
          <w:szCs w:val="16"/>
        </w:rPr>
        <w:t xml:space="preserve"> </w:t>
      </w:r>
      <w:r w:rsidRPr="004754C1">
        <w:rPr>
          <w:rFonts w:ascii="Times New Roman" w:hAnsi="Times New Roman"/>
          <w:sz w:val="16"/>
          <w:szCs w:val="16"/>
          <w:lang w:val="en-US"/>
        </w:rPr>
        <w:t xml:space="preserve">   </w:t>
      </w:r>
      <w:r>
        <w:rPr>
          <w:rFonts w:ascii="Times New Roman" w:hAnsi="Times New Roman"/>
          <w:sz w:val="16"/>
          <w:szCs w:val="16"/>
          <w:lang w:val="en-US"/>
        </w:rPr>
        <w:t xml:space="preserve">  </w:t>
      </w:r>
      <w:r w:rsidRPr="004754C1">
        <w:rPr>
          <w:rFonts w:ascii="Times New Roman" w:hAnsi="Times New Roman"/>
          <w:sz w:val="16"/>
          <w:szCs w:val="16"/>
          <w:lang w:val="en-US"/>
        </w:rPr>
        <w:t>The British Broadcasting Corporation</w:t>
      </w:r>
      <w:r>
        <w:rPr>
          <w:rFonts w:ascii="Times New Roman" w:hAnsi="Times New Roman"/>
          <w:sz w:val="16"/>
          <w:szCs w:val="16"/>
          <w:lang w:val="en-US"/>
        </w:rPr>
        <w:t>,</w:t>
      </w:r>
      <w:r w:rsidRPr="004754C1">
        <w:rPr>
          <w:rFonts w:ascii="Times New Roman" w:hAnsi="Times New Roman"/>
          <w:sz w:val="16"/>
          <w:szCs w:val="16"/>
          <w:lang w:val="en-US"/>
        </w:rPr>
        <w:t xml:space="preserve"> https://www.bbc.com/</w:t>
      </w:r>
    </w:p>
  </w:footnote>
  <w:footnote w:id="10">
    <w:p w14:paraId="19E35A0C" w14:textId="77777777" w:rsidR="00E51683" w:rsidRPr="004754C1" w:rsidRDefault="00E51683" w:rsidP="00137F8E">
      <w:pPr>
        <w:pBdr>
          <w:top w:val="nil"/>
          <w:left w:val="nil"/>
          <w:bottom w:val="nil"/>
          <w:right w:val="nil"/>
          <w:between w:val="nil"/>
        </w:pBdr>
        <w:ind w:left="284" w:hanging="284"/>
        <w:rPr>
          <w:sz w:val="16"/>
          <w:szCs w:val="16"/>
        </w:rPr>
      </w:pPr>
      <w:r w:rsidRPr="004754C1">
        <w:rPr>
          <w:sz w:val="16"/>
          <w:szCs w:val="16"/>
          <w:vertAlign w:val="superscript"/>
        </w:rPr>
        <w:footnoteRef/>
      </w:r>
      <w:r w:rsidRPr="004754C1">
        <w:rPr>
          <w:sz w:val="16"/>
          <w:szCs w:val="16"/>
        </w:rPr>
        <w:t xml:space="preserve">   </w:t>
      </w:r>
      <w:r w:rsidRPr="004754C1">
        <w:rPr>
          <w:sz w:val="16"/>
          <w:szCs w:val="16"/>
        </w:rPr>
        <w:tab/>
        <w:t>Savings calculator at https://www.thecalculatorsite.com/finance/calculators/savings-calculators.php (12 Dec 2020)</w:t>
      </w:r>
    </w:p>
  </w:footnote>
  <w:footnote w:id="11">
    <w:p w14:paraId="42022FAA" w14:textId="525E8B05" w:rsidR="00E51683" w:rsidRPr="004754C1" w:rsidRDefault="00E51683" w:rsidP="00137F8E">
      <w:pPr>
        <w:pBdr>
          <w:top w:val="nil"/>
          <w:left w:val="nil"/>
          <w:bottom w:val="nil"/>
          <w:right w:val="nil"/>
          <w:between w:val="nil"/>
        </w:pBdr>
        <w:ind w:left="284" w:hanging="284"/>
        <w:rPr>
          <w:sz w:val="16"/>
          <w:szCs w:val="16"/>
        </w:rPr>
      </w:pPr>
      <w:r w:rsidRPr="004754C1">
        <w:rPr>
          <w:sz w:val="16"/>
          <w:szCs w:val="16"/>
          <w:vertAlign w:val="superscript"/>
        </w:rPr>
        <w:footnoteRef/>
      </w:r>
      <w:r w:rsidRPr="004754C1">
        <w:rPr>
          <w:sz w:val="16"/>
          <w:szCs w:val="16"/>
        </w:rPr>
        <w:t xml:space="preserve">   </w:t>
      </w:r>
      <w:r w:rsidRPr="004754C1">
        <w:rPr>
          <w:sz w:val="16"/>
          <w:szCs w:val="16"/>
        </w:rPr>
        <w:tab/>
        <w:t>Keeping in mind that a signed LA is a promissory note and within the same day creates new money and generates gains thereupon</w:t>
      </w:r>
      <w:r w:rsidR="0081742D">
        <w:rPr>
          <w:sz w:val="16"/>
          <w:szCs w:val="16"/>
        </w:rPr>
        <w:t xml:space="preserve">. </w:t>
      </w:r>
    </w:p>
  </w:footnote>
  <w:footnote w:id="12">
    <w:p w14:paraId="68EB542A" w14:textId="77777777" w:rsidR="00E51683" w:rsidRPr="004754C1" w:rsidRDefault="00E51683" w:rsidP="00137F8E">
      <w:pPr>
        <w:pBdr>
          <w:top w:val="nil"/>
          <w:left w:val="nil"/>
          <w:bottom w:val="nil"/>
          <w:right w:val="nil"/>
          <w:between w:val="nil"/>
        </w:pBdr>
        <w:ind w:left="284" w:hanging="284"/>
        <w:rPr>
          <w:sz w:val="16"/>
          <w:szCs w:val="16"/>
        </w:rPr>
      </w:pPr>
      <w:r w:rsidRPr="004754C1">
        <w:rPr>
          <w:sz w:val="16"/>
          <w:szCs w:val="16"/>
          <w:vertAlign w:val="superscript"/>
        </w:rPr>
        <w:footnoteRef/>
      </w:r>
      <w:r w:rsidRPr="004754C1">
        <w:rPr>
          <w:sz w:val="16"/>
          <w:szCs w:val="16"/>
        </w:rPr>
        <w:t xml:space="preserve">    </w:t>
      </w:r>
      <w:r w:rsidRPr="004754C1">
        <w:rPr>
          <w:sz w:val="16"/>
          <w:szCs w:val="16"/>
        </w:rPr>
        <w:tab/>
        <w:t>Undang-Undang Republik Indonesia Nomor 23 Tahun 1999 Tentang Bank Indonesia</w:t>
      </w:r>
    </w:p>
  </w:footnote>
  <w:footnote w:id="13">
    <w:p w14:paraId="2708AD12" w14:textId="77777777" w:rsidR="00E51683" w:rsidRPr="004754C1" w:rsidRDefault="00E51683" w:rsidP="00137F8E">
      <w:pPr>
        <w:pBdr>
          <w:top w:val="nil"/>
          <w:left w:val="nil"/>
          <w:bottom w:val="nil"/>
          <w:right w:val="nil"/>
          <w:between w:val="nil"/>
        </w:pBdr>
        <w:ind w:left="284" w:hanging="284"/>
        <w:rPr>
          <w:sz w:val="16"/>
          <w:szCs w:val="16"/>
        </w:rPr>
      </w:pPr>
      <w:r w:rsidRPr="004754C1">
        <w:rPr>
          <w:sz w:val="16"/>
          <w:szCs w:val="16"/>
          <w:vertAlign w:val="superscript"/>
        </w:rPr>
        <w:footnoteRef/>
      </w:r>
      <w:r w:rsidRPr="004754C1">
        <w:rPr>
          <w:sz w:val="16"/>
          <w:szCs w:val="16"/>
        </w:rPr>
        <w:t xml:space="preserve">    </w:t>
      </w:r>
      <w:r w:rsidRPr="004754C1">
        <w:rPr>
          <w:sz w:val="16"/>
          <w:szCs w:val="16"/>
        </w:rPr>
        <w:tab/>
        <w:t>Current GDP in US$</w:t>
      </w:r>
    </w:p>
  </w:footnote>
  <w:footnote w:id="14">
    <w:p w14:paraId="12E44EE7" w14:textId="77777777" w:rsidR="00E51683" w:rsidRPr="004754C1" w:rsidRDefault="00E51683" w:rsidP="00137F8E">
      <w:pPr>
        <w:pBdr>
          <w:top w:val="nil"/>
          <w:left w:val="nil"/>
          <w:bottom w:val="nil"/>
          <w:right w:val="nil"/>
          <w:between w:val="nil"/>
        </w:pBdr>
        <w:ind w:left="284" w:hanging="284"/>
        <w:rPr>
          <w:sz w:val="16"/>
          <w:szCs w:val="16"/>
        </w:rPr>
      </w:pPr>
      <w:r w:rsidRPr="004754C1">
        <w:rPr>
          <w:sz w:val="16"/>
          <w:szCs w:val="16"/>
          <w:vertAlign w:val="superscript"/>
        </w:rPr>
        <w:footnoteRef/>
      </w:r>
      <w:r w:rsidRPr="004754C1">
        <w:rPr>
          <w:sz w:val="16"/>
          <w:szCs w:val="16"/>
        </w:rPr>
        <w:t xml:space="preserve">    Annual unemployment in %. </w:t>
      </w:r>
    </w:p>
  </w:footnote>
  <w:footnote w:id="15">
    <w:p w14:paraId="5BB3B2B5" w14:textId="77777777" w:rsidR="00E51683" w:rsidRPr="004754C1" w:rsidRDefault="00E51683" w:rsidP="00137F8E">
      <w:pPr>
        <w:pBdr>
          <w:top w:val="nil"/>
          <w:left w:val="nil"/>
          <w:bottom w:val="nil"/>
          <w:right w:val="nil"/>
          <w:between w:val="nil"/>
        </w:pBdr>
        <w:ind w:left="284" w:hanging="284"/>
        <w:rPr>
          <w:sz w:val="16"/>
          <w:szCs w:val="16"/>
        </w:rPr>
      </w:pPr>
      <w:r w:rsidRPr="004754C1">
        <w:rPr>
          <w:sz w:val="16"/>
          <w:szCs w:val="16"/>
          <w:vertAlign w:val="superscript"/>
        </w:rPr>
        <w:footnoteRef/>
      </w:r>
      <w:r w:rsidRPr="004754C1">
        <w:rPr>
          <w:sz w:val="16"/>
          <w:szCs w:val="16"/>
        </w:rPr>
        <w:t xml:space="preserve">    </w:t>
      </w:r>
      <w:r w:rsidRPr="004754C1">
        <w:rPr>
          <w:sz w:val="16"/>
          <w:szCs w:val="16"/>
        </w:rPr>
        <w:tab/>
        <w:t>The London Inter-bank Offered Rate (LIBOR)</w:t>
      </w:r>
    </w:p>
  </w:footnote>
  <w:footnote w:id="16">
    <w:p w14:paraId="17DBABD6" w14:textId="77777777" w:rsidR="00E51683" w:rsidRPr="004754C1" w:rsidRDefault="00E51683" w:rsidP="00137F8E">
      <w:pPr>
        <w:pBdr>
          <w:top w:val="nil"/>
          <w:left w:val="nil"/>
          <w:bottom w:val="nil"/>
          <w:right w:val="nil"/>
          <w:between w:val="nil"/>
        </w:pBdr>
        <w:ind w:left="284" w:hanging="284"/>
        <w:rPr>
          <w:sz w:val="16"/>
          <w:szCs w:val="16"/>
        </w:rPr>
      </w:pPr>
      <w:r w:rsidRPr="004754C1">
        <w:rPr>
          <w:sz w:val="16"/>
          <w:szCs w:val="16"/>
          <w:vertAlign w:val="superscript"/>
        </w:rPr>
        <w:footnoteRef/>
      </w:r>
      <w:r w:rsidRPr="004754C1">
        <w:rPr>
          <w:sz w:val="16"/>
          <w:szCs w:val="16"/>
        </w:rPr>
        <w:t xml:space="preserve">    </w:t>
      </w:r>
      <w:r w:rsidRPr="004754C1">
        <w:rPr>
          <w:sz w:val="16"/>
          <w:szCs w:val="16"/>
        </w:rPr>
        <w:tab/>
        <w:t>ADB Operations Manual OM Section D1/BP (Ordinary Capital Resources) https://www.adb.org/sites/default/files/institutional-document/31483/om-d1.pdf (Accessed 5 Jan 2021)</w:t>
      </w:r>
    </w:p>
  </w:footnote>
  <w:footnote w:id="17">
    <w:p w14:paraId="615C01AA" w14:textId="232DA51E" w:rsidR="00E51683" w:rsidRPr="004754C1" w:rsidRDefault="00E51683" w:rsidP="00137F8E">
      <w:pPr>
        <w:pBdr>
          <w:top w:val="nil"/>
          <w:left w:val="nil"/>
          <w:bottom w:val="nil"/>
          <w:right w:val="nil"/>
          <w:between w:val="nil"/>
        </w:pBdr>
        <w:ind w:left="284" w:hanging="284"/>
        <w:rPr>
          <w:sz w:val="16"/>
          <w:szCs w:val="16"/>
        </w:rPr>
      </w:pPr>
      <w:r w:rsidRPr="004754C1">
        <w:rPr>
          <w:sz w:val="16"/>
          <w:szCs w:val="16"/>
          <w:vertAlign w:val="superscript"/>
        </w:rPr>
        <w:footnoteRef/>
      </w:r>
      <w:r w:rsidRPr="004754C1">
        <w:rPr>
          <w:sz w:val="16"/>
          <w:szCs w:val="16"/>
        </w:rPr>
        <w:t xml:space="preserve">   </w:t>
      </w:r>
      <w:r w:rsidRPr="004754C1">
        <w:rPr>
          <w:sz w:val="16"/>
          <w:szCs w:val="16"/>
        </w:rPr>
        <w:tab/>
        <w:t>Ideally, subject to the availability of actual yearly disbursement data, they should be treated as the project progresses under S-curve profiles with compounded interest and fees on undisbursed sums added</w:t>
      </w:r>
      <w:r w:rsidR="0081742D">
        <w:rPr>
          <w:sz w:val="16"/>
          <w:szCs w:val="16"/>
        </w:rPr>
        <w:t xml:space="preserve">. </w:t>
      </w:r>
    </w:p>
  </w:footnote>
  <w:footnote w:id="18">
    <w:p w14:paraId="21B8B731" w14:textId="77777777" w:rsidR="00E51683" w:rsidRPr="004754C1" w:rsidRDefault="00E51683" w:rsidP="00137F8E">
      <w:pPr>
        <w:pBdr>
          <w:top w:val="nil"/>
          <w:left w:val="nil"/>
          <w:bottom w:val="nil"/>
          <w:right w:val="nil"/>
          <w:between w:val="nil"/>
        </w:pBdr>
        <w:ind w:left="284" w:hanging="284"/>
        <w:rPr>
          <w:sz w:val="16"/>
          <w:szCs w:val="16"/>
        </w:rPr>
      </w:pPr>
      <w:r w:rsidRPr="004754C1">
        <w:rPr>
          <w:sz w:val="16"/>
          <w:szCs w:val="16"/>
          <w:vertAlign w:val="superscript"/>
        </w:rPr>
        <w:footnoteRef/>
      </w:r>
      <w:r w:rsidRPr="004754C1">
        <w:rPr>
          <w:sz w:val="16"/>
          <w:szCs w:val="16"/>
        </w:rPr>
        <w:t xml:space="preserve">    </w:t>
      </w:r>
      <w:r w:rsidRPr="004754C1">
        <w:rPr>
          <w:sz w:val="16"/>
          <w:szCs w:val="16"/>
        </w:rPr>
        <w:tab/>
        <w:t>Source: https://data.adb.org/dataset/statement-adbs-sovereign-loans-1968-2017 (11 Dec 2020)</w:t>
      </w:r>
    </w:p>
  </w:footnote>
  <w:footnote w:id="19">
    <w:p w14:paraId="4658A3E0" w14:textId="77777777" w:rsidR="00E51683" w:rsidRPr="004754C1" w:rsidRDefault="00E51683" w:rsidP="00137F8E">
      <w:pPr>
        <w:pBdr>
          <w:top w:val="nil"/>
          <w:left w:val="nil"/>
          <w:bottom w:val="nil"/>
          <w:right w:val="nil"/>
          <w:between w:val="nil"/>
        </w:pBdr>
        <w:ind w:left="284" w:hanging="284"/>
        <w:rPr>
          <w:sz w:val="16"/>
          <w:szCs w:val="16"/>
        </w:rPr>
      </w:pPr>
      <w:r w:rsidRPr="004754C1">
        <w:rPr>
          <w:sz w:val="16"/>
          <w:szCs w:val="16"/>
          <w:vertAlign w:val="superscript"/>
        </w:rPr>
        <w:footnoteRef/>
      </w:r>
      <w:r w:rsidRPr="004754C1">
        <w:rPr>
          <w:sz w:val="16"/>
          <w:szCs w:val="16"/>
        </w:rPr>
        <w:t xml:space="preserve">    </w:t>
      </w:r>
      <w:r w:rsidRPr="004754C1">
        <w:rPr>
          <w:sz w:val="16"/>
          <w:szCs w:val="16"/>
        </w:rPr>
        <w:tab/>
        <w:t>Source: World Bank Open Data https://data.worldbank.org or https://data.worldbank.org/topic/economy-and-growth (11 Dec 2020)</w:t>
      </w:r>
    </w:p>
  </w:footnote>
  <w:footnote w:id="20">
    <w:p w14:paraId="51939061" w14:textId="77777777" w:rsidR="00E51683" w:rsidRPr="004754C1" w:rsidRDefault="00E51683" w:rsidP="00137F8E">
      <w:pPr>
        <w:pBdr>
          <w:top w:val="nil"/>
          <w:left w:val="nil"/>
          <w:bottom w:val="nil"/>
          <w:right w:val="nil"/>
          <w:between w:val="nil"/>
        </w:pBdr>
        <w:ind w:left="284" w:hanging="284"/>
        <w:rPr>
          <w:sz w:val="16"/>
          <w:szCs w:val="16"/>
        </w:rPr>
      </w:pPr>
      <w:r w:rsidRPr="004754C1">
        <w:rPr>
          <w:sz w:val="16"/>
          <w:szCs w:val="16"/>
          <w:vertAlign w:val="superscript"/>
        </w:rPr>
        <w:footnoteRef/>
      </w:r>
      <w:r w:rsidRPr="004754C1">
        <w:rPr>
          <w:sz w:val="16"/>
          <w:szCs w:val="16"/>
        </w:rPr>
        <w:t xml:space="preserve">    </w:t>
      </w:r>
      <w:r w:rsidRPr="004754C1">
        <w:rPr>
          <w:sz w:val="16"/>
          <w:szCs w:val="16"/>
        </w:rPr>
        <w:tab/>
        <w:t>Source: https://fred.stlouisfed.org (11 Dec 2020)</w:t>
      </w:r>
    </w:p>
  </w:footnote>
  <w:footnote w:id="21">
    <w:p w14:paraId="2516C86F" w14:textId="77777777" w:rsidR="00E51683" w:rsidRPr="004754C1" w:rsidRDefault="00E51683" w:rsidP="00137F8E">
      <w:pPr>
        <w:pBdr>
          <w:top w:val="nil"/>
          <w:left w:val="nil"/>
          <w:bottom w:val="nil"/>
          <w:right w:val="nil"/>
          <w:between w:val="nil"/>
        </w:pBdr>
        <w:ind w:left="284" w:hanging="284"/>
        <w:rPr>
          <w:sz w:val="16"/>
          <w:szCs w:val="16"/>
        </w:rPr>
      </w:pPr>
      <w:r w:rsidRPr="004754C1">
        <w:rPr>
          <w:sz w:val="16"/>
          <w:szCs w:val="16"/>
          <w:vertAlign w:val="superscript"/>
        </w:rPr>
        <w:footnoteRef/>
      </w:r>
      <w:r w:rsidRPr="004754C1">
        <w:rPr>
          <w:sz w:val="16"/>
          <w:szCs w:val="16"/>
        </w:rPr>
        <w:t xml:space="preserve">   </w:t>
      </w:r>
      <w:r w:rsidRPr="004754C1">
        <w:rPr>
          <w:sz w:val="16"/>
          <w:szCs w:val="16"/>
        </w:rPr>
        <w:tab/>
        <w:t>See Bezemer &amp; Hudson (2016) on 15% GDP transactions that contribute to growth.</w:t>
      </w:r>
    </w:p>
  </w:footnote>
  <w:footnote w:id="22">
    <w:p w14:paraId="76141314" w14:textId="77777777" w:rsidR="00E51683" w:rsidRPr="004754C1" w:rsidRDefault="00E51683" w:rsidP="00137F8E">
      <w:pPr>
        <w:pBdr>
          <w:top w:val="nil"/>
          <w:left w:val="nil"/>
          <w:bottom w:val="nil"/>
          <w:right w:val="nil"/>
          <w:between w:val="nil"/>
        </w:pBdr>
        <w:ind w:left="284" w:hanging="284"/>
        <w:rPr>
          <w:sz w:val="16"/>
          <w:szCs w:val="16"/>
        </w:rPr>
      </w:pPr>
      <w:r w:rsidRPr="004754C1">
        <w:rPr>
          <w:sz w:val="16"/>
          <w:szCs w:val="16"/>
          <w:vertAlign w:val="superscript"/>
        </w:rPr>
        <w:footnoteRef/>
      </w:r>
      <w:r w:rsidRPr="004754C1">
        <w:rPr>
          <w:sz w:val="16"/>
          <w:szCs w:val="16"/>
        </w:rPr>
        <w:t xml:space="preserve">   </w:t>
      </w:r>
      <w:r w:rsidRPr="004754C1">
        <w:rPr>
          <w:sz w:val="16"/>
          <w:szCs w:val="16"/>
        </w:rPr>
        <w:tab/>
        <w:t>STATA begins with 2 instead of 1</w:t>
      </w:r>
    </w:p>
  </w:footnote>
  <w:footnote w:id="23">
    <w:p w14:paraId="7B2CCE6A" w14:textId="77777777" w:rsidR="00E51683" w:rsidRPr="004754C1" w:rsidRDefault="00E51683" w:rsidP="00137F8E">
      <w:pPr>
        <w:pBdr>
          <w:top w:val="nil"/>
          <w:left w:val="nil"/>
          <w:bottom w:val="nil"/>
          <w:right w:val="nil"/>
          <w:between w:val="nil"/>
        </w:pBdr>
        <w:ind w:left="284" w:hanging="284"/>
        <w:rPr>
          <w:sz w:val="16"/>
          <w:szCs w:val="16"/>
        </w:rPr>
      </w:pPr>
      <w:r w:rsidRPr="004754C1">
        <w:rPr>
          <w:sz w:val="16"/>
          <w:szCs w:val="16"/>
          <w:vertAlign w:val="superscript"/>
        </w:rPr>
        <w:footnoteRef/>
      </w:r>
      <w:r w:rsidRPr="004754C1">
        <w:rPr>
          <w:sz w:val="16"/>
          <w:szCs w:val="16"/>
        </w:rPr>
        <w:t xml:space="preserve"> </w:t>
      </w:r>
      <w:r w:rsidRPr="004754C1">
        <w:rPr>
          <w:sz w:val="16"/>
          <w:szCs w:val="16"/>
        </w:rPr>
        <w:tab/>
        <w:t xml:space="preserve">This is not yet incorporating money creation as a result of low time preference under LF and FRB. </w:t>
      </w:r>
    </w:p>
  </w:footnote>
  <w:footnote w:id="24">
    <w:p w14:paraId="00F7A4EF" w14:textId="77777777" w:rsidR="00E51683" w:rsidRPr="004754C1" w:rsidRDefault="00E51683" w:rsidP="00137F8E">
      <w:pPr>
        <w:pBdr>
          <w:top w:val="nil"/>
          <w:left w:val="nil"/>
          <w:bottom w:val="nil"/>
          <w:right w:val="nil"/>
          <w:between w:val="nil"/>
        </w:pBdr>
        <w:ind w:left="284" w:hanging="284"/>
        <w:rPr>
          <w:sz w:val="16"/>
          <w:szCs w:val="16"/>
        </w:rPr>
      </w:pPr>
      <w:r w:rsidRPr="004754C1">
        <w:rPr>
          <w:sz w:val="16"/>
          <w:szCs w:val="16"/>
          <w:vertAlign w:val="superscript"/>
        </w:rPr>
        <w:footnoteRef/>
      </w:r>
      <w:r w:rsidRPr="004754C1">
        <w:rPr>
          <w:sz w:val="16"/>
          <w:szCs w:val="16"/>
        </w:rPr>
        <w:t xml:space="preserve"> </w:t>
      </w:r>
      <w:r w:rsidRPr="004754C1">
        <w:rPr>
          <w:sz w:val="16"/>
          <w:szCs w:val="16"/>
        </w:rPr>
        <w:tab/>
        <w:t>This test only gives a one-dimensional view of data correlation. To have a 3-dimensional perspective, this needs to be triangulated with numerical, graphical, and stochastic approaches.</w:t>
      </w:r>
    </w:p>
  </w:footnote>
  <w:footnote w:id="25">
    <w:p w14:paraId="377F1202" w14:textId="77777777" w:rsidR="00E51683" w:rsidRPr="004754C1" w:rsidRDefault="00E51683" w:rsidP="00137F8E">
      <w:pPr>
        <w:pBdr>
          <w:top w:val="nil"/>
          <w:left w:val="nil"/>
          <w:bottom w:val="nil"/>
          <w:right w:val="nil"/>
          <w:between w:val="nil"/>
        </w:pBdr>
        <w:ind w:left="284" w:hanging="284"/>
        <w:rPr>
          <w:sz w:val="16"/>
          <w:szCs w:val="16"/>
        </w:rPr>
      </w:pPr>
      <w:r w:rsidRPr="004754C1">
        <w:rPr>
          <w:sz w:val="16"/>
          <w:szCs w:val="16"/>
          <w:vertAlign w:val="superscript"/>
        </w:rPr>
        <w:footnoteRef/>
      </w:r>
      <w:r w:rsidRPr="004754C1">
        <w:rPr>
          <w:sz w:val="16"/>
          <w:szCs w:val="16"/>
        </w:rPr>
        <w:t xml:space="preserve">  </w:t>
      </w:r>
      <w:r w:rsidRPr="004754C1">
        <w:rPr>
          <w:sz w:val="16"/>
          <w:szCs w:val="16"/>
        </w:rPr>
        <w:tab/>
        <w:t>Under ADB’s 4% reserve ratio, yields $32 per $1 or 32 times of the loan value.</w:t>
      </w:r>
    </w:p>
  </w:footnote>
  <w:footnote w:id="26">
    <w:p w14:paraId="20E29E83" w14:textId="77777777" w:rsidR="00E51683" w:rsidRPr="004754C1" w:rsidRDefault="00E51683" w:rsidP="00137F8E">
      <w:pPr>
        <w:pBdr>
          <w:top w:val="nil"/>
          <w:left w:val="nil"/>
          <w:bottom w:val="nil"/>
          <w:right w:val="nil"/>
          <w:between w:val="nil"/>
        </w:pBdr>
        <w:ind w:left="284" w:hanging="284"/>
        <w:rPr>
          <w:sz w:val="16"/>
          <w:szCs w:val="16"/>
        </w:rPr>
      </w:pPr>
      <w:r w:rsidRPr="004754C1">
        <w:rPr>
          <w:sz w:val="16"/>
          <w:szCs w:val="16"/>
          <w:vertAlign w:val="superscript"/>
        </w:rPr>
        <w:footnoteRef/>
      </w:r>
      <w:r w:rsidRPr="004754C1">
        <w:rPr>
          <w:sz w:val="16"/>
          <w:szCs w:val="16"/>
        </w:rPr>
        <w:t xml:space="preserve">    Amoral hazard is a situation in which decision-makers maximize their benefits while impairing others because of incomplete information on how things work, such as banking theories and practices and money creation.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B378BB"/>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9A060DD"/>
    <w:multiLevelType w:val="multilevel"/>
    <w:tmpl w:val="8E6659D8"/>
    <w:lvl w:ilvl="0">
      <w:start w:val="1"/>
      <w:numFmt w:val="decimal"/>
      <w:lvlText w:val="%1."/>
      <w:lvlJc w:val="left"/>
      <w:pPr>
        <w:ind w:left="360" w:hanging="360"/>
      </w:pPr>
      <w:rPr>
        <w:b/>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990527"/>
    <w:multiLevelType w:val="hybridMultilevel"/>
    <w:tmpl w:val="16C4D224"/>
    <w:lvl w:ilvl="0" w:tplc="0421000D">
      <w:start w:val="1"/>
      <w:numFmt w:val="bullet"/>
      <w:lvlText w:val=""/>
      <w:lvlJc w:val="left"/>
      <w:pPr>
        <w:ind w:left="720" w:hanging="360"/>
      </w:pPr>
      <w:rPr>
        <w:rFonts w:ascii="Wingdings" w:hAnsi="Wingdings" w:hint="default"/>
      </w:rPr>
    </w:lvl>
    <w:lvl w:ilvl="1" w:tplc="04210001">
      <w:start w:val="1"/>
      <w:numFmt w:val="bullet"/>
      <w:lvlText w:val=""/>
      <w:lvlJc w:val="left"/>
      <w:pPr>
        <w:ind w:left="1440" w:hanging="360"/>
      </w:pPr>
      <w:rPr>
        <w:rFonts w:ascii="Symbol" w:hAnsi="Symbol"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15:restartNumberingAfterBreak="0">
    <w:nsid w:val="17902818"/>
    <w:multiLevelType w:val="hybridMultilevel"/>
    <w:tmpl w:val="D3329EA6"/>
    <w:lvl w:ilvl="0" w:tplc="8384D278">
      <w:start w:val="1"/>
      <w:numFmt w:val="decimal"/>
      <w:lvlText w:val="[%1]"/>
      <w:lvlJc w:val="left"/>
      <w:pPr>
        <w:ind w:left="473" w:hanging="360"/>
      </w:pPr>
      <w:rPr>
        <w:b w:val="0"/>
        <w:sz w:val="22"/>
      </w:rPr>
    </w:lvl>
    <w:lvl w:ilvl="1" w:tplc="D0167512">
      <w:start w:val="1"/>
      <w:numFmt w:val="lowerLetter"/>
      <w:lvlText w:val="%2."/>
      <w:lvlJc w:val="left"/>
      <w:pPr>
        <w:ind w:left="1193" w:hanging="360"/>
      </w:pPr>
    </w:lvl>
    <w:lvl w:ilvl="2" w:tplc="B15C8546">
      <w:start w:val="1"/>
      <w:numFmt w:val="lowerRoman"/>
      <w:lvlText w:val="%3."/>
      <w:lvlJc w:val="right"/>
      <w:pPr>
        <w:ind w:left="1913" w:hanging="180"/>
      </w:pPr>
    </w:lvl>
    <w:lvl w:ilvl="3" w:tplc="60867A70">
      <w:start w:val="1"/>
      <w:numFmt w:val="decimal"/>
      <w:lvlText w:val="%4."/>
      <w:lvlJc w:val="left"/>
      <w:pPr>
        <w:ind w:left="2633" w:hanging="360"/>
      </w:pPr>
    </w:lvl>
    <w:lvl w:ilvl="4" w:tplc="C204CB64">
      <w:start w:val="1"/>
      <w:numFmt w:val="lowerLetter"/>
      <w:lvlText w:val="%5."/>
      <w:lvlJc w:val="left"/>
      <w:pPr>
        <w:ind w:left="3353" w:hanging="360"/>
      </w:pPr>
    </w:lvl>
    <w:lvl w:ilvl="5" w:tplc="32066A3A">
      <w:start w:val="1"/>
      <w:numFmt w:val="lowerRoman"/>
      <w:lvlText w:val="%6."/>
      <w:lvlJc w:val="right"/>
      <w:pPr>
        <w:ind w:left="4073" w:hanging="180"/>
      </w:pPr>
    </w:lvl>
    <w:lvl w:ilvl="6" w:tplc="B7CC8960">
      <w:start w:val="1"/>
      <w:numFmt w:val="decimal"/>
      <w:lvlText w:val="%7."/>
      <w:lvlJc w:val="left"/>
      <w:pPr>
        <w:ind w:left="4793" w:hanging="360"/>
      </w:pPr>
    </w:lvl>
    <w:lvl w:ilvl="7" w:tplc="B3B4B4B6">
      <w:start w:val="1"/>
      <w:numFmt w:val="lowerLetter"/>
      <w:lvlText w:val="%8."/>
      <w:lvlJc w:val="left"/>
      <w:pPr>
        <w:ind w:left="5513" w:hanging="360"/>
      </w:pPr>
    </w:lvl>
    <w:lvl w:ilvl="8" w:tplc="60DC2DC2">
      <w:start w:val="1"/>
      <w:numFmt w:val="lowerRoman"/>
      <w:lvlText w:val="%9."/>
      <w:lvlJc w:val="right"/>
      <w:pPr>
        <w:ind w:left="6233" w:hanging="180"/>
      </w:pPr>
    </w:lvl>
  </w:abstractNum>
  <w:abstractNum w:abstractNumId="4" w15:restartNumberingAfterBreak="0">
    <w:nsid w:val="1C5B0BEE"/>
    <w:multiLevelType w:val="multilevel"/>
    <w:tmpl w:val="A6743584"/>
    <w:lvl w:ilvl="0">
      <w:start w:val="8"/>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481004"/>
    <w:multiLevelType w:val="multilevel"/>
    <w:tmpl w:val="66E03CC6"/>
    <w:lvl w:ilvl="0">
      <w:start w:val="1"/>
      <w:numFmt w:val="decimal"/>
      <w:lvlText w:val="%1."/>
      <w:lvlJc w:val="left"/>
      <w:pPr>
        <w:ind w:left="360" w:hanging="360"/>
      </w:pPr>
    </w:lvl>
    <w:lvl w:ilvl="1">
      <w:start w:val="1"/>
      <w:numFmt w:val="decimal"/>
      <w:lvlText w:val="%1.%2."/>
      <w:lvlJc w:val="left"/>
      <w:pPr>
        <w:ind w:left="792" w:hanging="432"/>
      </w:pPr>
      <w:rPr>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51484D"/>
    <w:multiLevelType w:val="hybridMultilevel"/>
    <w:tmpl w:val="C20CFD24"/>
    <w:lvl w:ilvl="0" w:tplc="44A03C7C">
      <w:start w:val="1"/>
      <w:numFmt w:val="bullet"/>
      <w:lvlText w:val=""/>
      <w:lvlJc w:val="left"/>
      <w:pPr>
        <w:ind w:left="720" w:hanging="360"/>
      </w:pPr>
      <w:rPr>
        <w:rFonts w:ascii="Wingdings" w:hAnsi="Wingdings"/>
      </w:rPr>
    </w:lvl>
    <w:lvl w:ilvl="1" w:tplc="E8B64752">
      <w:start w:val="1"/>
      <w:numFmt w:val="bullet"/>
      <w:lvlText w:val="o"/>
      <w:lvlJc w:val="left"/>
      <w:pPr>
        <w:ind w:left="1440" w:hanging="360"/>
      </w:pPr>
      <w:rPr>
        <w:rFonts w:ascii="Courier New" w:hAnsi="Courier New"/>
      </w:rPr>
    </w:lvl>
    <w:lvl w:ilvl="2" w:tplc="69626A94">
      <w:start w:val="1"/>
      <w:numFmt w:val="bullet"/>
      <w:lvlText w:val=""/>
      <w:lvlJc w:val="left"/>
      <w:pPr>
        <w:ind w:left="2160" w:hanging="360"/>
      </w:pPr>
      <w:rPr>
        <w:rFonts w:ascii="Wingdings" w:hAnsi="Wingdings"/>
      </w:rPr>
    </w:lvl>
    <w:lvl w:ilvl="3" w:tplc="1774165E">
      <w:start w:val="1"/>
      <w:numFmt w:val="bullet"/>
      <w:lvlText w:val=""/>
      <w:lvlJc w:val="left"/>
      <w:pPr>
        <w:ind w:left="2880" w:hanging="360"/>
      </w:pPr>
      <w:rPr>
        <w:rFonts w:ascii="Symbol" w:hAnsi="Symbol"/>
      </w:rPr>
    </w:lvl>
    <w:lvl w:ilvl="4" w:tplc="6B448C64">
      <w:start w:val="1"/>
      <w:numFmt w:val="bullet"/>
      <w:lvlText w:val="o"/>
      <w:lvlJc w:val="left"/>
      <w:pPr>
        <w:ind w:left="3600" w:hanging="360"/>
      </w:pPr>
      <w:rPr>
        <w:rFonts w:ascii="Courier New" w:hAnsi="Courier New"/>
      </w:rPr>
    </w:lvl>
    <w:lvl w:ilvl="5" w:tplc="6BECC0DA">
      <w:start w:val="1"/>
      <w:numFmt w:val="bullet"/>
      <w:lvlText w:val=""/>
      <w:lvlJc w:val="left"/>
      <w:pPr>
        <w:ind w:left="4320" w:hanging="360"/>
      </w:pPr>
      <w:rPr>
        <w:rFonts w:ascii="Wingdings" w:hAnsi="Wingdings"/>
      </w:rPr>
    </w:lvl>
    <w:lvl w:ilvl="6" w:tplc="E42E373C">
      <w:start w:val="1"/>
      <w:numFmt w:val="bullet"/>
      <w:lvlText w:val=""/>
      <w:lvlJc w:val="left"/>
      <w:pPr>
        <w:ind w:left="5040" w:hanging="360"/>
      </w:pPr>
      <w:rPr>
        <w:rFonts w:ascii="Symbol" w:hAnsi="Symbol"/>
      </w:rPr>
    </w:lvl>
    <w:lvl w:ilvl="7" w:tplc="545010E4">
      <w:start w:val="1"/>
      <w:numFmt w:val="bullet"/>
      <w:lvlText w:val="o"/>
      <w:lvlJc w:val="left"/>
      <w:pPr>
        <w:ind w:left="5760" w:hanging="360"/>
      </w:pPr>
      <w:rPr>
        <w:rFonts w:ascii="Courier New" w:hAnsi="Courier New"/>
      </w:rPr>
    </w:lvl>
    <w:lvl w:ilvl="8" w:tplc="4828B58C">
      <w:start w:val="1"/>
      <w:numFmt w:val="bullet"/>
      <w:lvlText w:val=""/>
      <w:lvlJc w:val="left"/>
      <w:pPr>
        <w:ind w:left="6480" w:hanging="360"/>
      </w:pPr>
      <w:rPr>
        <w:rFonts w:ascii="Wingdings" w:hAnsi="Wingdings"/>
      </w:rPr>
    </w:lvl>
  </w:abstractNum>
  <w:abstractNum w:abstractNumId="7" w15:restartNumberingAfterBreak="0">
    <w:nsid w:val="21713296"/>
    <w:multiLevelType w:val="multilevel"/>
    <w:tmpl w:val="CA304476"/>
    <w:lvl w:ilvl="0">
      <w:start w:val="1"/>
      <w:numFmt w:val="decimal"/>
      <w:lvlText w:val="%1)"/>
      <w:lvlJc w:val="left"/>
      <w:pPr>
        <w:ind w:left="432" w:hanging="432"/>
      </w:pPr>
    </w:lvl>
    <w:lvl w:ilvl="1">
      <w:start w:val="1"/>
      <w:numFmt w:val="decimal"/>
      <w:lvlText w:val="%1.%2"/>
      <w:lvlJc w:val="left"/>
      <w:pPr>
        <w:ind w:left="576" w:hanging="576"/>
      </w:pPr>
      <w:rPr>
        <w:sz w:val="2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B91144D"/>
    <w:multiLevelType w:val="multilevel"/>
    <w:tmpl w:val="BCCC768C"/>
    <w:lvl w:ilvl="0">
      <w:start w:val="13"/>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1582E08"/>
    <w:multiLevelType w:val="multilevel"/>
    <w:tmpl w:val="B4D292F6"/>
    <w:lvl w:ilvl="0">
      <w:start w:val="1"/>
      <w:numFmt w:val="bullet"/>
      <w:lvlText w:val=""/>
      <w:lvlJc w:val="left"/>
      <w:pPr>
        <w:ind w:left="720" w:hanging="360"/>
      </w:pPr>
      <w:rPr>
        <w:rFonts w:ascii="Symbol" w:hAnsi="Symbol"/>
        <w:sz w:val="20"/>
      </w:rPr>
    </w:lvl>
    <w:lvl w:ilvl="1">
      <w:start w:val="1"/>
      <w:numFmt w:val="bullet"/>
      <w:lvlText w:val="o"/>
      <w:lvlJc w:val="left"/>
      <w:pPr>
        <w:ind w:left="1440" w:hanging="360"/>
      </w:pPr>
      <w:rPr>
        <w:rFonts w:ascii="Courier New" w:hAnsi="Courier New"/>
        <w:sz w:val="20"/>
      </w:rPr>
    </w:lvl>
    <w:lvl w:ilvl="2">
      <w:start w:val="1"/>
      <w:numFmt w:val="bullet"/>
      <w:lvlText w:val=""/>
      <w:lvlJc w:val="left"/>
      <w:pPr>
        <w:ind w:left="2160" w:hanging="360"/>
      </w:pPr>
      <w:rPr>
        <w:rFonts w:ascii="Wingdings" w:hAnsi="Wingdings"/>
        <w:sz w:val="20"/>
      </w:rPr>
    </w:lvl>
    <w:lvl w:ilvl="3">
      <w:start w:val="1"/>
      <w:numFmt w:val="bullet"/>
      <w:lvlText w:val=""/>
      <w:lvlJc w:val="left"/>
      <w:pPr>
        <w:ind w:left="2880" w:hanging="360"/>
      </w:pPr>
      <w:rPr>
        <w:rFonts w:ascii="Wingdings" w:hAnsi="Wingdings"/>
        <w:sz w:val="20"/>
      </w:rPr>
    </w:lvl>
    <w:lvl w:ilvl="4">
      <w:start w:val="1"/>
      <w:numFmt w:val="bullet"/>
      <w:lvlText w:val=""/>
      <w:lvlJc w:val="left"/>
      <w:pPr>
        <w:ind w:left="3600" w:hanging="360"/>
      </w:pPr>
      <w:rPr>
        <w:rFonts w:ascii="Wingdings" w:hAnsi="Wingdings"/>
        <w:sz w:val="20"/>
      </w:rPr>
    </w:lvl>
    <w:lvl w:ilvl="5">
      <w:start w:val="1"/>
      <w:numFmt w:val="bullet"/>
      <w:lvlText w:val=""/>
      <w:lvlJc w:val="left"/>
      <w:pPr>
        <w:ind w:left="4320" w:hanging="360"/>
      </w:pPr>
      <w:rPr>
        <w:rFonts w:ascii="Wingdings" w:hAnsi="Wingdings"/>
        <w:sz w:val="20"/>
      </w:rPr>
    </w:lvl>
    <w:lvl w:ilvl="6">
      <w:start w:val="1"/>
      <w:numFmt w:val="bullet"/>
      <w:lvlText w:val=""/>
      <w:lvlJc w:val="left"/>
      <w:pPr>
        <w:ind w:left="5040" w:hanging="360"/>
      </w:pPr>
      <w:rPr>
        <w:rFonts w:ascii="Wingdings" w:hAnsi="Wingdings"/>
        <w:sz w:val="20"/>
      </w:rPr>
    </w:lvl>
    <w:lvl w:ilvl="7">
      <w:start w:val="1"/>
      <w:numFmt w:val="bullet"/>
      <w:lvlText w:val=""/>
      <w:lvlJc w:val="left"/>
      <w:pPr>
        <w:ind w:left="5760" w:hanging="360"/>
      </w:pPr>
      <w:rPr>
        <w:rFonts w:ascii="Wingdings" w:hAnsi="Wingdings"/>
        <w:sz w:val="20"/>
      </w:rPr>
    </w:lvl>
    <w:lvl w:ilvl="8">
      <w:start w:val="1"/>
      <w:numFmt w:val="bullet"/>
      <w:lvlText w:val=""/>
      <w:lvlJc w:val="left"/>
      <w:pPr>
        <w:ind w:left="6480" w:hanging="360"/>
      </w:pPr>
      <w:rPr>
        <w:rFonts w:ascii="Wingdings" w:hAnsi="Wingdings"/>
        <w:sz w:val="20"/>
      </w:rPr>
    </w:lvl>
  </w:abstractNum>
  <w:abstractNum w:abstractNumId="10" w15:restartNumberingAfterBreak="0">
    <w:nsid w:val="33FE6804"/>
    <w:multiLevelType w:val="hybridMultilevel"/>
    <w:tmpl w:val="6AB2C4A2"/>
    <w:lvl w:ilvl="0" w:tplc="04210001">
      <w:start w:val="1"/>
      <w:numFmt w:val="bullet"/>
      <w:lvlText w:val=""/>
      <w:lvlJc w:val="left"/>
      <w:pPr>
        <w:ind w:left="360" w:hanging="360"/>
      </w:pPr>
      <w:rPr>
        <w:rFonts w:ascii="Symbol" w:hAnsi="Symbol" w:hint="default"/>
      </w:rPr>
    </w:lvl>
    <w:lvl w:ilvl="1" w:tplc="04210003">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1" w15:restartNumberingAfterBreak="0">
    <w:nsid w:val="3A505E5B"/>
    <w:multiLevelType w:val="multilevel"/>
    <w:tmpl w:val="0B26220A"/>
    <w:lvl w:ilvl="0">
      <w:start w:val="11"/>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FF978EA"/>
    <w:multiLevelType w:val="multilevel"/>
    <w:tmpl w:val="510A6F48"/>
    <w:lvl w:ilvl="0">
      <w:start w:val="1"/>
      <w:numFmt w:val="bullet"/>
      <w:lvlText w:val=""/>
      <w:lvlJc w:val="left"/>
      <w:pPr>
        <w:ind w:left="720" w:hanging="360"/>
      </w:pPr>
      <w:rPr>
        <w:rFonts w:ascii="Symbol" w:hAnsi="Symbol"/>
        <w:sz w:val="20"/>
      </w:rPr>
    </w:lvl>
    <w:lvl w:ilvl="1">
      <w:start w:val="1"/>
      <w:numFmt w:val="bullet"/>
      <w:lvlText w:val=""/>
      <w:lvlJc w:val="left"/>
      <w:pPr>
        <w:ind w:left="1440" w:hanging="360"/>
      </w:pPr>
      <w:rPr>
        <w:rFonts w:ascii="Symbol" w:hAnsi="Symbol"/>
        <w:sz w:val="20"/>
      </w:rPr>
    </w:lvl>
    <w:lvl w:ilvl="2">
      <w:start w:val="1"/>
      <w:numFmt w:val="bullet"/>
      <w:lvlText w:val=""/>
      <w:lvlJc w:val="left"/>
      <w:pPr>
        <w:ind w:left="2160" w:hanging="360"/>
      </w:pPr>
      <w:rPr>
        <w:rFonts w:ascii="Symbol" w:hAnsi="Symbol"/>
        <w:sz w:val="20"/>
      </w:rPr>
    </w:lvl>
    <w:lvl w:ilvl="3">
      <w:start w:val="1"/>
      <w:numFmt w:val="bullet"/>
      <w:lvlText w:val=""/>
      <w:lvlJc w:val="left"/>
      <w:pPr>
        <w:ind w:left="2880" w:hanging="360"/>
      </w:pPr>
      <w:rPr>
        <w:rFonts w:ascii="Symbol" w:hAnsi="Symbol"/>
        <w:sz w:val="20"/>
      </w:rPr>
    </w:lvl>
    <w:lvl w:ilvl="4">
      <w:start w:val="1"/>
      <w:numFmt w:val="bullet"/>
      <w:lvlText w:val=""/>
      <w:lvlJc w:val="left"/>
      <w:pPr>
        <w:ind w:left="3600" w:hanging="360"/>
      </w:pPr>
      <w:rPr>
        <w:rFonts w:ascii="Symbol" w:hAnsi="Symbol"/>
        <w:sz w:val="20"/>
      </w:rPr>
    </w:lvl>
    <w:lvl w:ilvl="5">
      <w:start w:val="1"/>
      <w:numFmt w:val="bullet"/>
      <w:lvlText w:val=""/>
      <w:lvlJc w:val="left"/>
      <w:pPr>
        <w:ind w:left="4320" w:hanging="360"/>
      </w:pPr>
      <w:rPr>
        <w:rFonts w:ascii="Symbol" w:hAnsi="Symbol"/>
        <w:sz w:val="20"/>
      </w:rPr>
    </w:lvl>
    <w:lvl w:ilvl="6">
      <w:start w:val="1"/>
      <w:numFmt w:val="bullet"/>
      <w:lvlText w:val=""/>
      <w:lvlJc w:val="left"/>
      <w:pPr>
        <w:ind w:left="5040" w:hanging="360"/>
      </w:pPr>
      <w:rPr>
        <w:rFonts w:ascii="Symbol" w:hAnsi="Symbol"/>
        <w:sz w:val="20"/>
      </w:rPr>
    </w:lvl>
    <w:lvl w:ilvl="7">
      <w:start w:val="1"/>
      <w:numFmt w:val="bullet"/>
      <w:lvlText w:val=""/>
      <w:lvlJc w:val="left"/>
      <w:pPr>
        <w:ind w:left="5760" w:hanging="360"/>
      </w:pPr>
      <w:rPr>
        <w:rFonts w:ascii="Symbol" w:hAnsi="Symbol"/>
        <w:sz w:val="20"/>
      </w:rPr>
    </w:lvl>
    <w:lvl w:ilvl="8">
      <w:start w:val="1"/>
      <w:numFmt w:val="bullet"/>
      <w:lvlText w:val=""/>
      <w:lvlJc w:val="left"/>
      <w:pPr>
        <w:ind w:left="6480" w:hanging="360"/>
      </w:pPr>
      <w:rPr>
        <w:rFonts w:ascii="Symbol" w:hAnsi="Symbol"/>
        <w:sz w:val="20"/>
      </w:rPr>
    </w:lvl>
  </w:abstractNum>
  <w:abstractNum w:abstractNumId="13" w15:restartNumberingAfterBreak="0">
    <w:nsid w:val="40466E3C"/>
    <w:multiLevelType w:val="multilevel"/>
    <w:tmpl w:val="0421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0AD31CE"/>
    <w:multiLevelType w:val="multilevel"/>
    <w:tmpl w:val="7760FA32"/>
    <w:lvl w:ilvl="0">
      <w:start w:val="1"/>
      <w:numFmt w:val="decimal"/>
      <w:lvlText w:val="%1."/>
      <w:lvlJc w:val="left"/>
      <w:pPr>
        <w:ind w:left="360" w:hanging="360"/>
      </w:pPr>
      <w:rPr>
        <w:b/>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5FF6862"/>
    <w:multiLevelType w:val="hybridMultilevel"/>
    <w:tmpl w:val="DAC8A538"/>
    <w:lvl w:ilvl="0" w:tplc="5498A0D6">
      <w:start w:val="1"/>
      <w:numFmt w:val="decimal"/>
      <w:lvlText w:val="%1."/>
      <w:lvlJc w:val="left"/>
      <w:pPr>
        <w:ind w:left="720" w:hanging="360"/>
      </w:pPr>
    </w:lvl>
    <w:lvl w:ilvl="1" w:tplc="A9D00702">
      <w:start w:val="1"/>
      <w:numFmt w:val="lowerLetter"/>
      <w:lvlText w:val="%2."/>
      <w:lvlJc w:val="left"/>
      <w:pPr>
        <w:ind w:left="1440" w:hanging="360"/>
      </w:pPr>
    </w:lvl>
    <w:lvl w:ilvl="2" w:tplc="298421C6">
      <w:start w:val="1"/>
      <w:numFmt w:val="lowerRoman"/>
      <w:lvlText w:val="%3."/>
      <w:lvlJc w:val="right"/>
      <w:pPr>
        <w:ind w:left="2160" w:hanging="180"/>
      </w:pPr>
    </w:lvl>
    <w:lvl w:ilvl="3" w:tplc="074654F2">
      <w:start w:val="1"/>
      <w:numFmt w:val="decimal"/>
      <w:lvlText w:val="%4."/>
      <w:lvlJc w:val="left"/>
      <w:pPr>
        <w:ind w:left="2880" w:hanging="360"/>
      </w:pPr>
    </w:lvl>
    <w:lvl w:ilvl="4" w:tplc="24E499F6">
      <w:start w:val="1"/>
      <w:numFmt w:val="lowerLetter"/>
      <w:lvlText w:val="%5."/>
      <w:lvlJc w:val="left"/>
      <w:pPr>
        <w:ind w:left="3600" w:hanging="360"/>
      </w:pPr>
    </w:lvl>
    <w:lvl w:ilvl="5" w:tplc="F36CFF7C">
      <w:start w:val="1"/>
      <w:numFmt w:val="lowerRoman"/>
      <w:lvlText w:val="%6."/>
      <w:lvlJc w:val="right"/>
      <w:pPr>
        <w:ind w:left="4320" w:hanging="180"/>
      </w:pPr>
    </w:lvl>
    <w:lvl w:ilvl="6" w:tplc="BE2E7A90">
      <w:start w:val="1"/>
      <w:numFmt w:val="decimal"/>
      <w:lvlText w:val="%7."/>
      <w:lvlJc w:val="left"/>
      <w:pPr>
        <w:ind w:left="5040" w:hanging="360"/>
      </w:pPr>
    </w:lvl>
    <w:lvl w:ilvl="7" w:tplc="42A07866">
      <w:start w:val="1"/>
      <w:numFmt w:val="lowerLetter"/>
      <w:lvlText w:val="%8."/>
      <w:lvlJc w:val="left"/>
      <w:pPr>
        <w:ind w:left="5760" w:hanging="360"/>
      </w:pPr>
    </w:lvl>
    <w:lvl w:ilvl="8" w:tplc="6E52A35E">
      <w:start w:val="1"/>
      <w:numFmt w:val="lowerRoman"/>
      <w:lvlText w:val="%9."/>
      <w:lvlJc w:val="right"/>
      <w:pPr>
        <w:ind w:left="6480" w:hanging="180"/>
      </w:pPr>
    </w:lvl>
  </w:abstractNum>
  <w:abstractNum w:abstractNumId="16" w15:restartNumberingAfterBreak="0">
    <w:nsid w:val="602705BB"/>
    <w:multiLevelType w:val="hybridMultilevel"/>
    <w:tmpl w:val="F34EC0E8"/>
    <w:lvl w:ilvl="0" w:tplc="04210001">
      <w:start w:val="1"/>
      <w:numFmt w:val="bullet"/>
      <w:lvlText w:val=""/>
      <w:lvlJc w:val="left"/>
      <w:pPr>
        <w:ind w:left="720" w:hanging="360"/>
      </w:pPr>
      <w:rPr>
        <w:rFonts w:ascii="Symbol" w:hAnsi="Symbol" w:hint="default"/>
      </w:rPr>
    </w:lvl>
    <w:lvl w:ilvl="1" w:tplc="0421000D">
      <w:start w:val="1"/>
      <w:numFmt w:val="bullet"/>
      <w:lvlText w:val=""/>
      <w:lvlJc w:val="left"/>
      <w:pPr>
        <w:ind w:left="1440" w:hanging="360"/>
      </w:pPr>
      <w:rPr>
        <w:rFonts w:ascii="Wingdings" w:hAnsi="Wingdings"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69E01266"/>
    <w:multiLevelType w:val="hybridMultilevel"/>
    <w:tmpl w:val="76446A94"/>
    <w:lvl w:ilvl="0" w:tplc="40BE3850">
      <w:start w:val="1"/>
      <w:numFmt w:val="decimal"/>
      <w:lvlText w:val="%1."/>
      <w:lvlJc w:val="left"/>
      <w:pPr>
        <w:ind w:left="360" w:hanging="360"/>
      </w:pPr>
    </w:lvl>
    <w:lvl w:ilvl="1" w:tplc="A7FCDB86">
      <w:start w:val="1"/>
      <w:numFmt w:val="decimal"/>
      <w:lvlText w:val="%2)"/>
      <w:lvlJc w:val="left"/>
      <w:pPr>
        <w:ind w:left="1080" w:hanging="360"/>
      </w:pPr>
    </w:lvl>
    <w:lvl w:ilvl="2" w:tplc="346ED402">
      <w:start w:val="1"/>
      <w:numFmt w:val="lowerRoman"/>
      <w:lvlText w:val="%3."/>
      <w:lvlJc w:val="right"/>
      <w:pPr>
        <w:ind w:left="1800" w:hanging="180"/>
      </w:pPr>
    </w:lvl>
    <w:lvl w:ilvl="3" w:tplc="E668BD4A">
      <w:start w:val="1"/>
      <w:numFmt w:val="decimal"/>
      <w:lvlText w:val="%4."/>
      <w:lvlJc w:val="left"/>
      <w:pPr>
        <w:ind w:left="2520" w:hanging="360"/>
      </w:pPr>
    </w:lvl>
    <w:lvl w:ilvl="4" w:tplc="634CBDF2">
      <w:start w:val="1"/>
      <w:numFmt w:val="lowerLetter"/>
      <w:lvlText w:val="%5."/>
      <w:lvlJc w:val="left"/>
      <w:pPr>
        <w:ind w:left="3240" w:hanging="360"/>
      </w:pPr>
    </w:lvl>
    <w:lvl w:ilvl="5" w:tplc="6D56DCC4">
      <w:start w:val="1"/>
      <w:numFmt w:val="lowerRoman"/>
      <w:lvlText w:val="%6."/>
      <w:lvlJc w:val="right"/>
      <w:pPr>
        <w:ind w:left="3960" w:hanging="180"/>
      </w:pPr>
    </w:lvl>
    <w:lvl w:ilvl="6" w:tplc="F586CFA2">
      <w:start w:val="1"/>
      <w:numFmt w:val="decimal"/>
      <w:lvlText w:val="%7."/>
      <w:lvlJc w:val="left"/>
      <w:pPr>
        <w:ind w:left="4680" w:hanging="360"/>
      </w:pPr>
    </w:lvl>
    <w:lvl w:ilvl="7" w:tplc="357E7E2A">
      <w:start w:val="1"/>
      <w:numFmt w:val="lowerLetter"/>
      <w:lvlText w:val="%8."/>
      <w:lvlJc w:val="left"/>
      <w:pPr>
        <w:ind w:left="5400" w:hanging="360"/>
      </w:pPr>
    </w:lvl>
    <w:lvl w:ilvl="8" w:tplc="ADDAF454">
      <w:start w:val="1"/>
      <w:numFmt w:val="lowerRoman"/>
      <w:lvlText w:val="%9."/>
      <w:lvlJc w:val="right"/>
      <w:pPr>
        <w:ind w:left="6120" w:hanging="180"/>
      </w:pPr>
    </w:lvl>
  </w:abstractNum>
  <w:abstractNum w:abstractNumId="18" w15:restartNumberingAfterBreak="0">
    <w:nsid w:val="71E6551E"/>
    <w:multiLevelType w:val="multilevel"/>
    <w:tmpl w:val="2B76DA2A"/>
    <w:lvl w:ilvl="0">
      <w:start w:val="14"/>
      <w:numFmt w:val="decimal"/>
      <w:lvlText w:val="%1."/>
      <w:lvlJc w:val="left"/>
      <w:pPr>
        <w:ind w:left="360" w:hanging="360"/>
      </w:p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3"/>
  </w:num>
  <w:num w:numId="3">
    <w:abstractNumId w:val="5"/>
  </w:num>
  <w:num w:numId="4">
    <w:abstractNumId w:val="9"/>
  </w:num>
  <w:num w:numId="5">
    <w:abstractNumId w:val="15"/>
  </w:num>
  <w:num w:numId="6">
    <w:abstractNumId w:val="7"/>
  </w:num>
  <w:num w:numId="7">
    <w:abstractNumId w:val="0"/>
  </w:num>
  <w:num w:numId="8">
    <w:abstractNumId w:val="12"/>
  </w:num>
  <w:num w:numId="9">
    <w:abstractNumId w:val="17"/>
  </w:num>
  <w:num w:numId="10">
    <w:abstractNumId w:val="6"/>
  </w:num>
  <w:num w:numId="11">
    <w:abstractNumId w:val="13"/>
  </w:num>
  <w:num w:numId="12">
    <w:abstractNumId w:val="10"/>
  </w:num>
  <w:num w:numId="13">
    <w:abstractNumId w:val="16"/>
  </w:num>
  <w:num w:numId="14">
    <w:abstractNumId w:val="2"/>
  </w:num>
  <w:num w:numId="15">
    <w:abstractNumId w:val="11"/>
  </w:num>
  <w:num w:numId="16">
    <w:abstractNumId w:val="8"/>
  </w:num>
  <w:num w:numId="17">
    <w:abstractNumId w:val="18"/>
  </w:num>
  <w:num w:numId="18">
    <w:abstractNumId w:val="1"/>
  </w:num>
  <w:num w:numId="19">
    <w:abstractNumId w:val="4"/>
  </w:num>
  <w:num w:numId="20">
    <w:abstractNumId w:val="2"/>
    <w:lvlOverride w:ilvl="0"/>
    <w:lvlOverride w:ilvl="1"/>
    <w:lvlOverride w:ilvl="2"/>
    <w:lvlOverride w:ilvl="3"/>
    <w:lvlOverride w:ilvl="4"/>
    <w:lvlOverride w:ilvl="5"/>
    <w:lvlOverride w:ilvl="6"/>
    <w:lvlOverride w:ilvl="7"/>
    <w:lvlOverride w:ilvl="8"/>
  </w:num>
  <w:num w:numId="21">
    <w:abstractNumId w:val="1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doNotDisplayPageBoundaries/>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EzMTCzNDA3MjE2MDZT0lEKTi0uzszPAykwtKwFAJf6QOItAAAA"/>
  </w:docVars>
  <w:rsids>
    <w:rsidRoot w:val="00915A90"/>
    <w:rsid w:val="0000213B"/>
    <w:rsid w:val="000104C5"/>
    <w:rsid w:val="00017CBE"/>
    <w:rsid w:val="00021021"/>
    <w:rsid w:val="00033D4D"/>
    <w:rsid w:val="000641D4"/>
    <w:rsid w:val="00076A00"/>
    <w:rsid w:val="000869CF"/>
    <w:rsid w:val="000919B3"/>
    <w:rsid w:val="000925F5"/>
    <w:rsid w:val="000A2E96"/>
    <w:rsid w:val="000A5E28"/>
    <w:rsid w:val="000A7022"/>
    <w:rsid w:val="000D14E1"/>
    <w:rsid w:val="000D2364"/>
    <w:rsid w:val="000E345E"/>
    <w:rsid w:val="000F28EF"/>
    <w:rsid w:val="00106913"/>
    <w:rsid w:val="00125ECC"/>
    <w:rsid w:val="00137F8E"/>
    <w:rsid w:val="00146AEB"/>
    <w:rsid w:val="00163229"/>
    <w:rsid w:val="00165251"/>
    <w:rsid w:val="00170C6F"/>
    <w:rsid w:val="0018123C"/>
    <w:rsid w:val="0018359C"/>
    <w:rsid w:val="001A0D83"/>
    <w:rsid w:val="001A7E62"/>
    <w:rsid w:val="001B371A"/>
    <w:rsid w:val="001D34EB"/>
    <w:rsid w:val="001E1E92"/>
    <w:rsid w:val="001F0962"/>
    <w:rsid w:val="00200A3C"/>
    <w:rsid w:val="00207544"/>
    <w:rsid w:val="00212C37"/>
    <w:rsid w:val="0022121C"/>
    <w:rsid w:val="0028185E"/>
    <w:rsid w:val="002818C9"/>
    <w:rsid w:val="00281F67"/>
    <w:rsid w:val="00294142"/>
    <w:rsid w:val="002A6B9A"/>
    <w:rsid w:val="002B2786"/>
    <w:rsid w:val="002B71E4"/>
    <w:rsid w:val="002C58ED"/>
    <w:rsid w:val="002C5BBB"/>
    <w:rsid w:val="002D0848"/>
    <w:rsid w:val="002D675A"/>
    <w:rsid w:val="002E5BBD"/>
    <w:rsid w:val="002E684C"/>
    <w:rsid w:val="002F3438"/>
    <w:rsid w:val="002F547A"/>
    <w:rsid w:val="003038A5"/>
    <w:rsid w:val="00307F15"/>
    <w:rsid w:val="0035393A"/>
    <w:rsid w:val="003654B2"/>
    <w:rsid w:val="00380FC0"/>
    <w:rsid w:val="00382641"/>
    <w:rsid w:val="003952F4"/>
    <w:rsid w:val="003B181B"/>
    <w:rsid w:val="003B6BB2"/>
    <w:rsid w:val="003B6E45"/>
    <w:rsid w:val="003C35DB"/>
    <w:rsid w:val="003C6824"/>
    <w:rsid w:val="003D27A5"/>
    <w:rsid w:val="003D7D85"/>
    <w:rsid w:val="003E0776"/>
    <w:rsid w:val="004008EE"/>
    <w:rsid w:val="0040097E"/>
    <w:rsid w:val="004025B0"/>
    <w:rsid w:val="004075DC"/>
    <w:rsid w:val="00422B4F"/>
    <w:rsid w:val="00431FD9"/>
    <w:rsid w:val="004330FA"/>
    <w:rsid w:val="00437402"/>
    <w:rsid w:val="004420FC"/>
    <w:rsid w:val="00447CC0"/>
    <w:rsid w:val="004519C7"/>
    <w:rsid w:val="004522FD"/>
    <w:rsid w:val="00460C93"/>
    <w:rsid w:val="00462128"/>
    <w:rsid w:val="00462A1D"/>
    <w:rsid w:val="004754C1"/>
    <w:rsid w:val="00482806"/>
    <w:rsid w:val="004A61A3"/>
    <w:rsid w:val="004B228E"/>
    <w:rsid w:val="004E2E0B"/>
    <w:rsid w:val="004E5AB6"/>
    <w:rsid w:val="004F2430"/>
    <w:rsid w:val="00501723"/>
    <w:rsid w:val="005277C3"/>
    <w:rsid w:val="00530254"/>
    <w:rsid w:val="00547CFF"/>
    <w:rsid w:val="0056226E"/>
    <w:rsid w:val="0057457F"/>
    <w:rsid w:val="00596186"/>
    <w:rsid w:val="005962DB"/>
    <w:rsid w:val="00597B8B"/>
    <w:rsid w:val="005A4C7D"/>
    <w:rsid w:val="005E1F5C"/>
    <w:rsid w:val="005E279A"/>
    <w:rsid w:val="005E6987"/>
    <w:rsid w:val="00601FB2"/>
    <w:rsid w:val="00607DA4"/>
    <w:rsid w:val="006112F7"/>
    <w:rsid w:val="00620299"/>
    <w:rsid w:val="00652235"/>
    <w:rsid w:val="0066780D"/>
    <w:rsid w:val="006760CD"/>
    <w:rsid w:val="00692A43"/>
    <w:rsid w:val="00693C59"/>
    <w:rsid w:val="006A3B09"/>
    <w:rsid w:val="006B393F"/>
    <w:rsid w:val="006C01A9"/>
    <w:rsid w:val="006C07C3"/>
    <w:rsid w:val="006D5B31"/>
    <w:rsid w:val="006E072D"/>
    <w:rsid w:val="00705CDC"/>
    <w:rsid w:val="00706F0D"/>
    <w:rsid w:val="007154F1"/>
    <w:rsid w:val="00742A43"/>
    <w:rsid w:val="00752092"/>
    <w:rsid w:val="00753B02"/>
    <w:rsid w:val="007921F2"/>
    <w:rsid w:val="00795AC9"/>
    <w:rsid w:val="007A620C"/>
    <w:rsid w:val="007A69B1"/>
    <w:rsid w:val="007B62DE"/>
    <w:rsid w:val="007C55CE"/>
    <w:rsid w:val="007D06A6"/>
    <w:rsid w:val="007E448B"/>
    <w:rsid w:val="00802116"/>
    <w:rsid w:val="00807F00"/>
    <w:rsid w:val="0081742D"/>
    <w:rsid w:val="00824B4A"/>
    <w:rsid w:val="008341FF"/>
    <w:rsid w:val="00850578"/>
    <w:rsid w:val="00863A5E"/>
    <w:rsid w:val="00866A06"/>
    <w:rsid w:val="008764F7"/>
    <w:rsid w:val="00891592"/>
    <w:rsid w:val="008930FA"/>
    <w:rsid w:val="008A7CFB"/>
    <w:rsid w:val="008A7E79"/>
    <w:rsid w:val="008B1A11"/>
    <w:rsid w:val="008B5BD8"/>
    <w:rsid w:val="00915A90"/>
    <w:rsid w:val="00936880"/>
    <w:rsid w:val="0095575F"/>
    <w:rsid w:val="00957C1B"/>
    <w:rsid w:val="00977CD4"/>
    <w:rsid w:val="0098234F"/>
    <w:rsid w:val="009870C8"/>
    <w:rsid w:val="00997970"/>
    <w:rsid w:val="009A4812"/>
    <w:rsid w:val="009B0439"/>
    <w:rsid w:val="009B0554"/>
    <w:rsid w:val="009C34CA"/>
    <w:rsid w:val="009C56E3"/>
    <w:rsid w:val="009C5B3F"/>
    <w:rsid w:val="009C7445"/>
    <w:rsid w:val="00A137BB"/>
    <w:rsid w:val="00A262B1"/>
    <w:rsid w:val="00A276BC"/>
    <w:rsid w:val="00A4655D"/>
    <w:rsid w:val="00A576C8"/>
    <w:rsid w:val="00A751A2"/>
    <w:rsid w:val="00A82C7A"/>
    <w:rsid w:val="00A938CF"/>
    <w:rsid w:val="00A9545F"/>
    <w:rsid w:val="00AA6661"/>
    <w:rsid w:val="00AC7076"/>
    <w:rsid w:val="00AC76F9"/>
    <w:rsid w:val="00AF0690"/>
    <w:rsid w:val="00AF420D"/>
    <w:rsid w:val="00AF71DF"/>
    <w:rsid w:val="00AF7E6F"/>
    <w:rsid w:val="00B059BB"/>
    <w:rsid w:val="00B227E2"/>
    <w:rsid w:val="00B552C2"/>
    <w:rsid w:val="00B5685E"/>
    <w:rsid w:val="00B619A8"/>
    <w:rsid w:val="00B66078"/>
    <w:rsid w:val="00B6611F"/>
    <w:rsid w:val="00B67D8D"/>
    <w:rsid w:val="00B71C9B"/>
    <w:rsid w:val="00B90260"/>
    <w:rsid w:val="00B94997"/>
    <w:rsid w:val="00BB1D9A"/>
    <w:rsid w:val="00BB41AE"/>
    <w:rsid w:val="00BD48ED"/>
    <w:rsid w:val="00BE711C"/>
    <w:rsid w:val="00BF6652"/>
    <w:rsid w:val="00C10AC1"/>
    <w:rsid w:val="00C27B87"/>
    <w:rsid w:val="00C34FD1"/>
    <w:rsid w:val="00C42F88"/>
    <w:rsid w:val="00C549F9"/>
    <w:rsid w:val="00C5786C"/>
    <w:rsid w:val="00C6451A"/>
    <w:rsid w:val="00C65641"/>
    <w:rsid w:val="00C666A1"/>
    <w:rsid w:val="00C71509"/>
    <w:rsid w:val="00C71EF0"/>
    <w:rsid w:val="00C77156"/>
    <w:rsid w:val="00C9260F"/>
    <w:rsid w:val="00C95601"/>
    <w:rsid w:val="00CA0E06"/>
    <w:rsid w:val="00CA650E"/>
    <w:rsid w:val="00CC6B4B"/>
    <w:rsid w:val="00CE12D6"/>
    <w:rsid w:val="00CE7D48"/>
    <w:rsid w:val="00D058FD"/>
    <w:rsid w:val="00D11D49"/>
    <w:rsid w:val="00D144BA"/>
    <w:rsid w:val="00D15E6D"/>
    <w:rsid w:val="00D24F38"/>
    <w:rsid w:val="00D30696"/>
    <w:rsid w:val="00D316D2"/>
    <w:rsid w:val="00D3463E"/>
    <w:rsid w:val="00D34E35"/>
    <w:rsid w:val="00D43229"/>
    <w:rsid w:val="00D507DE"/>
    <w:rsid w:val="00D53507"/>
    <w:rsid w:val="00D75129"/>
    <w:rsid w:val="00D84DE3"/>
    <w:rsid w:val="00D852A8"/>
    <w:rsid w:val="00D858AF"/>
    <w:rsid w:val="00D94416"/>
    <w:rsid w:val="00DC4909"/>
    <w:rsid w:val="00DC69E8"/>
    <w:rsid w:val="00DE3FF9"/>
    <w:rsid w:val="00E00C50"/>
    <w:rsid w:val="00E05D32"/>
    <w:rsid w:val="00E17BBD"/>
    <w:rsid w:val="00E2296C"/>
    <w:rsid w:val="00E23AC4"/>
    <w:rsid w:val="00E268F9"/>
    <w:rsid w:val="00E31882"/>
    <w:rsid w:val="00E34ADB"/>
    <w:rsid w:val="00E50B40"/>
    <w:rsid w:val="00E51683"/>
    <w:rsid w:val="00E612E0"/>
    <w:rsid w:val="00E6516C"/>
    <w:rsid w:val="00E73BC4"/>
    <w:rsid w:val="00E97205"/>
    <w:rsid w:val="00E97817"/>
    <w:rsid w:val="00EA2C65"/>
    <w:rsid w:val="00EA7D19"/>
    <w:rsid w:val="00EC41A4"/>
    <w:rsid w:val="00EC68BB"/>
    <w:rsid w:val="00EE591B"/>
    <w:rsid w:val="00F03851"/>
    <w:rsid w:val="00F11BDD"/>
    <w:rsid w:val="00F156AF"/>
    <w:rsid w:val="00F16180"/>
    <w:rsid w:val="00F263D1"/>
    <w:rsid w:val="00F6136C"/>
    <w:rsid w:val="00F64626"/>
    <w:rsid w:val="00F97CF2"/>
    <w:rsid w:val="00FA46DB"/>
    <w:rsid w:val="00FB3E0F"/>
    <w:rsid w:val="00FB5F74"/>
    <w:rsid w:val="00FB5F9C"/>
    <w:rsid w:val="00FD7E49"/>
    <w:rsid w:val="00FE0297"/>
    <w:rsid w:val="00FE230E"/>
    <w:rsid w:val="00FE26D1"/>
    <w:rsid w:val="00FE6CB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B2F17D"/>
  <w15:docId w15:val="{FEE22337-73EC-43C7-882C-B6CAE3336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color w:val="000000"/>
        <w:sz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sz w:val="24"/>
    </w:rPr>
  </w:style>
  <w:style w:type="paragraph" w:styleId="Heading1">
    <w:name w:val="heading 1"/>
    <w:basedOn w:val="Normal"/>
    <w:next w:val="Normal"/>
    <w:link w:val="Heading1Char"/>
    <w:uiPriority w:val="9"/>
    <w:qFormat/>
    <w:pPr>
      <w:keepNext/>
      <w:spacing w:line="480" w:lineRule="auto"/>
      <w:jc w:val="center"/>
      <w:outlineLvl w:val="0"/>
    </w:pPr>
    <w:rPr>
      <w:b/>
      <w:sz w:val="32"/>
    </w:rPr>
  </w:style>
  <w:style w:type="paragraph" w:styleId="Heading2">
    <w:name w:val="heading 2"/>
    <w:basedOn w:val="Normal"/>
    <w:next w:val="Normal"/>
    <w:link w:val="Heading2Char"/>
    <w:uiPriority w:val="9"/>
    <w:unhideWhenUsed/>
    <w:qFormat/>
    <w:pPr>
      <w:keepNext/>
      <w:spacing w:before="240" w:after="60"/>
      <w:outlineLvl w:val="1"/>
    </w:pPr>
    <w:rPr>
      <w:b/>
      <w:sz w:val="28"/>
    </w:rPr>
  </w:style>
  <w:style w:type="paragraph" w:styleId="Heading3">
    <w:name w:val="heading 3"/>
    <w:basedOn w:val="Normal"/>
    <w:next w:val="Normal"/>
    <w:link w:val="Heading3Char"/>
    <w:uiPriority w:val="9"/>
    <w:semiHidden/>
    <w:unhideWhenUsed/>
    <w:qFormat/>
    <w:pPr>
      <w:keepNext/>
      <w:spacing w:before="240" w:after="60"/>
      <w:outlineLvl w:val="2"/>
    </w:pPr>
    <w:rPr>
      <w:b/>
    </w:rPr>
  </w:style>
  <w:style w:type="paragraph" w:styleId="Heading4">
    <w:name w:val="heading 4"/>
    <w:basedOn w:val="Normal"/>
    <w:next w:val="Normal"/>
    <w:link w:val="Heading4Char"/>
    <w:uiPriority w:val="9"/>
    <w:semiHidden/>
    <w:unhideWhenUsed/>
    <w:qFormat/>
    <w:pPr>
      <w:keepNext/>
      <w:jc w:val="center"/>
      <w:outlineLvl w:val="3"/>
    </w:pPr>
    <w:rPr>
      <w:b/>
      <w:sz w:val="22"/>
    </w:rPr>
  </w:style>
  <w:style w:type="paragraph" w:styleId="Heading5">
    <w:name w:val="heading 5"/>
    <w:basedOn w:val="Normal"/>
    <w:next w:val="Normal"/>
    <w:link w:val="Heading5Char"/>
    <w:uiPriority w:val="9"/>
    <w:semiHidden/>
    <w:unhideWhenUsed/>
    <w:qFormat/>
    <w:pPr>
      <w:spacing w:before="240" w:after="60"/>
      <w:outlineLvl w:val="4"/>
    </w:pPr>
    <w:rPr>
      <w:rFonts w:ascii="Calibri" w:hAnsi="Calibri"/>
      <w:b/>
      <w:i/>
      <w:sz w:val="26"/>
    </w:rPr>
  </w:style>
  <w:style w:type="paragraph" w:styleId="Heading6">
    <w:name w:val="heading 6"/>
    <w:basedOn w:val="Normal"/>
    <w:next w:val="Normal"/>
    <w:link w:val="Heading6Char"/>
    <w:uiPriority w:val="9"/>
    <w:semiHidden/>
    <w:unhideWhenUsed/>
    <w:qFormat/>
    <w:pPr>
      <w:spacing w:before="240" w:after="60"/>
      <w:outlineLvl w:val="5"/>
    </w:pPr>
    <w:rPr>
      <w:rFonts w:ascii="Calibri" w:hAnsi="Calibri"/>
      <w:b/>
      <w:sz w:val="22"/>
    </w:rPr>
  </w:style>
  <w:style w:type="paragraph" w:styleId="Heading7">
    <w:name w:val="heading 7"/>
    <w:basedOn w:val="Normal"/>
    <w:next w:val="Normal"/>
    <w:link w:val="Heading7Char"/>
    <w:semiHidden/>
    <w:qFormat/>
    <w:pPr>
      <w:spacing w:before="240" w:after="60"/>
      <w:outlineLvl w:val="6"/>
    </w:pPr>
    <w:rPr>
      <w:rFonts w:ascii="Calibri" w:hAnsi="Calibri"/>
    </w:rPr>
  </w:style>
  <w:style w:type="paragraph" w:styleId="Heading8">
    <w:name w:val="heading 8"/>
    <w:basedOn w:val="Normal"/>
    <w:next w:val="Normal"/>
    <w:link w:val="Heading8Char"/>
    <w:semiHidden/>
    <w:qFormat/>
    <w:pPr>
      <w:spacing w:before="240" w:after="60"/>
      <w:outlineLvl w:val="7"/>
    </w:pPr>
    <w:rPr>
      <w:rFonts w:ascii="Calibri" w:hAnsi="Calibri"/>
      <w:i/>
    </w:rPr>
  </w:style>
  <w:style w:type="paragraph" w:styleId="Heading9">
    <w:name w:val="heading 9"/>
    <w:basedOn w:val="Normal"/>
    <w:next w:val="Normal"/>
    <w:link w:val="Heading9Char"/>
    <w:semiHidden/>
    <w:qFormat/>
    <w:pPr>
      <w:spacing w:before="240" w:after="60"/>
      <w:outlineLvl w:val="8"/>
    </w:pPr>
    <w:rPr>
      <w:rFonts w:ascii="Calibri Light" w:hAnsi="Calibri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before="240"/>
      <w:jc w:val="both"/>
    </w:pPr>
  </w:style>
  <w:style w:type="paragraph" w:styleId="EndnoteText">
    <w:name w:val="endnote text"/>
    <w:basedOn w:val="Normal"/>
    <w:link w:val="EndnoteTextChar"/>
    <w:semiHidden/>
    <w:pPr>
      <w:spacing w:before="240"/>
      <w:jc w:val="both"/>
    </w:pPr>
    <w:rPr>
      <w:rFonts w:ascii="Arial" w:hAnsi="Arial"/>
    </w:rPr>
  </w:style>
  <w:style w:type="paragraph" w:styleId="BodyTextIndent2">
    <w:name w:val="Body Text Indent 2"/>
    <w:basedOn w:val="Normal"/>
    <w:link w:val="BodyTextIndent2Char"/>
    <w:semiHidden/>
    <w:pPr>
      <w:tabs>
        <w:tab w:val="right" w:pos="4678"/>
      </w:tabs>
      <w:spacing w:line="252" w:lineRule="auto"/>
      <w:ind w:firstLine="284"/>
      <w:jc w:val="both"/>
    </w:pPr>
    <w:rPr>
      <w:sz w:val="22"/>
    </w:rPr>
  </w:style>
  <w:style w:type="paragraph" w:customStyle="1" w:styleId="PARAGRAPH">
    <w:name w:val="PARAGRAPH"/>
    <w:basedOn w:val="Normal"/>
    <w:pPr>
      <w:widowControl w:val="0"/>
      <w:spacing w:line="230" w:lineRule="exact"/>
      <w:ind w:firstLine="240"/>
      <w:jc w:val="both"/>
    </w:pPr>
    <w:rPr>
      <w:rFonts w:ascii="Palatino" w:hAnsi="Palatino"/>
      <w:sz w:val="18"/>
    </w:rPr>
  </w:style>
  <w:style w:type="paragraph" w:customStyle="1" w:styleId="IJOPCMTitle">
    <w:name w:val="IJOPCM Title"/>
    <w:basedOn w:val="Heading1"/>
    <w:pPr>
      <w:spacing w:after="240" w:line="520" w:lineRule="exact"/>
    </w:pPr>
    <w:rPr>
      <w:sz w:val="40"/>
    </w:rPr>
  </w:style>
  <w:style w:type="paragraph" w:customStyle="1" w:styleId="IJOPCMAuthors">
    <w:name w:val="IJOPCM Authors"/>
    <w:basedOn w:val="Normal"/>
    <w:pPr>
      <w:spacing w:line="360" w:lineRule="exact"/>
      <w:jc w:val="center"/>
    </w:pPr>
    <w:rPr>
      <w:b/>
    </w:rPr>
  </w:style>
  <w:style w:type="paragraph" w:customStyle="1" w:styleId="IJOPCMAbstract">
    <w:name w:val="IJOPCM Abstract"/>
    <w:basedOn w:val="Normal"/>
    <w:pPr>
      <w:spacing w:before="240" w:after="240" w:line="240" w:lineRule="exact"/>
      <w:jc w:val="both"/>
    </w:pPr>
    <w:rPr>
      <w:b/>
      <w:i/>
    </w:rPr>
  </w:style>
  <w:style w:type="paragraph" w:customStyle="1" w:styleId="IJOPCMBody">
    <w:name w:val="IJOPCM Body"/>
    <w:basedOn w:val="Normal"/>
    <w:pPr>
      <w:spacing w:before="120" w:after="120"/>
      <w:jc w:val="both"/>
    </w:pPr>
  </w:style>
  <w:style w:type="paragraph" w:customStyle="1" w:styleId="IJOPCMH1">
    <w:name w:val="IJOPCM H1"/>
    <w:basedOn w:val="Heading1"/>
    <w:pPr>
      <w:spacing w:before="240" w:after="240" w:line="320" w:lineRule="exact"/>
      <w:jc w:val="left"/>
    </w:pPr>
    <w:rPr>
      <w:sz w:val="28"/>
    </w:rPr>
  </w:style>
  <w:style w:type="paragraph" w:customStyle="1" w:styleId="IJOPCMH2">
    <w:name w:val="IJOPCM H2"/>
    <w:basedOn w:val="Heading2"/>
    <w:pPr>
      <w:spacing w:after="240" w:line="280" w:lineRule="exact"/>
    </w:pPr>
    <w:rPr>
      <w:sz w:val="24"/>
    </w:rPr>
  </w:style>
  <w:style w:type="paragraph" w:customStyle="1" w:styleId="IJOPCMH3">
    <w:name w:val="IJOPCM H3"/>
    <w:basedOn w:val="Heading3"/>
    <w:pPr>
      <w:spacing w:after="240" w:line="240" w:lineRule="exact"/>
    </w:pPr>
  </w:style>
  <w:style w:type="paragraph" w:customStyle="1" w:styleId="IJOPCMRef">
    <w:name w:val="IJOPCM Ref"/>
    <w:basedOn w:val="Normal"/>
    <w:pPr>
      <w:spacing w:after="120"/>
      <w:ind w:left="357" w:hanging="357"/>
      <w:jc w:val="both"/>
    </w:pPr>
  </w:style>
  <w:style w:type="paragraph" w:customStyle="1" w:styleId="IJOPCMKeywards">
    <w:name w:val="IJOPCM Keywards"/>
    <w:basedOn w:val="Normal"/>
    <w:pPr>
      <w:spacing w:after="240" w:line="240" w:lineRule="exact"/>
    </w:pPr>
    <w:rPr>
      <w:i/>
    </w:rPr>
  </w:style>
  <w:style w:type="paragraph" w:customStyle="1" w:styleId="IJOPCMFigure">
    <w:name w:val="IJOPCM Figure"/>
    <w:basedOn w:val="Normal"/>
    <w:pPr>
      <w:jc w:val="center"/>
    </w:pPr>
  </w:style>
  <w:style w:type="paragraph" w:customStyle="1" w:styleId="IJOPCMTable">
    <w:name w:val="IJOPCM Table"/>
    <w:basedOn w:val="Normal"/>
    <w:pPr>
      <w:jc w:val="center"/>
    </w:pPr>
  </w:style>
  <w:style w:type="paragraph" w:customStyle="1" w:styleId="PARAGRAPHnoindent">
    <w:name w:val="PARAGRAPH (no indent)"/>
    <w:basedOn w:val="PARAGRAPH"/>
    <w:next w:val="PARAGRAPH"/>
    <w:pPr>
      <w:ind w:firstLine="0"/>
    </w:pPr>
  </w:style>
  <w:style w:type="paragraph" w:customStyle="1" w:styleId="Equation">
    <w:name w:val="Equation"/>
    <w:basedOn w:val="Normal"/>
    <w:next w:val="Normal"/>
    <w:pPr>
      <w:widowControl w:val="0"/>
      <w:tabs>
        <w:tab w:val="right" w:pos="5040"/>
      </w:tabs>
      <w:spacing w:line="252" w:lineRule="auto"/>
      <w:jc w:val="both"/>
    </w:pPr>
    <w:rPr>
      <w:sz w:val="20"/>
    </w:rPr>
  </w:style>
  <w:style w:type="paragraph" w:styleId="Header">
    <w:name w:val="header"/>
    <w:basedOn w:val="Normal"/>
    <w:link w:val="HeaderChar"/>
    <w:pPr>
      <w:tabs>
        <w:tab w:val="center" w:pos="4320"/>
        <w:tab w:val="right" w:pos="8640"/>
      </w:tabs>
    </w:pPr>
  </w:style>
  <w:style w:type="paragraph" w:customStyle="1" w:styleId="IJOPCMEqu">
    <w:name w:val="IJOPCM Equ"/>
    <w:basedOn w:val="Normal"/>
    <w:pPr>
      <w:jc w:val="right"/>
    </w:pPr>
  </w:style>
  <w:style w:type="paragraph" w:styleId="Footer">
    <w:name w:val="footer"/>
    <w:basedOn w:val="Normal"/>
    <w:link w:val="FooterChar"/>
    <w:pPr>
      <w:tabs>
        <w:tab w:val="center" w:pos="4320"/>
        <w:tab w:val="right" w:pos="8640"/>
      </w:tabs>
    </w:pPr>
  </w:style>
  <w:style w:type="paragraph" w:styleId="ListParagraph">
    <w:name w:val="List Paragraph"/>
    <w:basedOn w:val="Normal"/>
    <w:qFormat/>
    <w:pPr>
      <w:ind w:left="720"/>
      <w:contextualSpacing/>
    </w:pPr>
  </w:style>
  <w:style w:type="paragraph" w:customStyle="1" w:styleId="SAP-ReferenceHeading">
    <w:name w:val="SAP-Reference Heading"/>
    <w:pPr>
      <w:spacing w:before="468" w:after="156" w:line="240" w:lineRule="exact"/>
      <w:jc w:val="both"/>
    </w:pPr>
    <w:rPr>
      <w:b/>
      <w:caps/>
      <w:sz w:val="28"/>
    </w:rPr>
  </w:style>
  <w:style w:type="paragraph" w:customStyle="1" w:styleId="SAP-Paragraph">
    <w:name w:val="SAP-Paragraph"/>
    <w:link w:val="SAP-ParagraphChar"/>
    <w:pPr>
      <w:spacing w:after="0" w:line="240" w:lineRule="exact"/>
      <w:ind w:firstLine="100"/>
      <w:jc w:val="both"/>
    </w:pPr>
    <w:rPr>
      <w:sz w:val="20"/>
    </w:rPr>
  </w:style>
  <w:style w:type="paragraph" w:customStyle="1" w:styleId="SAP-TableHeadingSingleline">
    <w:name w:val="SAP-Table Heading Single line"/>
    <w:basedOn w:val="Normal"/>
    <w:pPr>
      <w:spacing w:before="200" w:after="100" w:line="160" w:lineRule="exact"/>
      <w:jc w:val="center"/>
    </w:pPr>
    <w:rPr>
      <w:sz w:val="16"/>
    </w:rPr>
  </w:style>
  <w:style w:type="paragraph" w:customStyle="1" w:styleId="SAP-Level2HeadingSingleline">
    <w:name w:val="SAP-Level 2 Heading Single line"/>
    <w:pPr>
      <w:spacing w:before="187" w:after="93" w:line="240" w:lineRule="exact"/>
      <w:jc w:val="both"/>
      <w:outlineLvl w:val="1"/>
    </w:pPr>
    <w:rPr>
      <w:b/>
      <w:sz w:val="20"/>
    </w:rPr>
  </w:style>
  <w:style w:type="paragraph" w:customStyle="1" w:styleId="SAP-Level1HeadingSingleline">
    <w:name w:val="SAP-Level 1 Heading Single line"/>
    <w:pPr>
      <w:spacing w:before="468" w:after="156" w:line="240" w:lineRule="exact"/>
      <w:jc w:val="both"/>
      <w:outlineLvl w:val="0"/>
    </w:pPr>
    <w:rPr>
      <w:b/>
      <w:sz w:val="28"/>
    </w:rPr>
  </w:style>
  <w:style w:type="paragraph" w:customStyle="1" w:styleId="SAP-ReferenceItem">
    <w:name w:val="SAP-Reference Item"/>
    <w:pPr>
      <w:spacing w:after="156" w:line="200" w:lineRule="exact"/>
      <w:ind w:left="420" w:hanging="420"/>
      <w:jc w:val="both"/>
    </w:pPr>
    <w:rPr>
      <w:sz w:val="18"/>
    </w:rPr>
  </w:style>
  <w:style w:type="paragraph" w:customStyle="1" w:styleId="SAP-FigureCaptionMulti-Lines">
    <w:name w:val="SAP-Figure Caption Multi-Lines"/>
    <w:pPr>
      <w:spacing w:after="0" w:line="200" w:lineRule="exact"/>
    </w:pPr>
    <w:rPr>
      <w:sz w:val="16"/>
    </w:rPr>
  </w:style>
  <w:style w:type="paragraph" w:customStyle="1" w:styleId="SAP-FigtureCaptionSingleline">
    <w:name w:val="SAP-Figture Caption Single line"/>
    <w:qFormat/>
    <w:pPr>
      <w:spacing w:after="0" w:line="200" w:lineRule="exact"/>
      <w:jc w:val="center"/>
    </w:pPr>
    <w:rPr>
      <w:sz w:val="16"/>
    </w:rPr>
  </w:style>
  <w:style w:type="paragraph" w:customStyle="1" w:styleId="SAP-Acknowledgement">
    <w:name w:val="SAP-Acknowledgement"/>
    <w:qFormat/>
    <w:pPr>
      <w:spacing w:before="468" w:after="156" w:line="240" w:lineRule="exact"/>
      <w:jc w:val="both"/>
    </w:pPr>
    <w:rPr>
      <w:b/>
      <w:caps/>
      <w:sz w:val="28"/>
    </w:rPr>
  </w:style>
  <w:style w:type="paragraph" w:customStyle="1" w:styleId="SAP-Equation">
    <w:name w:val="SAP-Equation"/>
    <w:qFormat/>
    <w:pPr>
      <w:tabs>
        <w:tab w:val="center" w:pos="2646"/>
        <w:tab w:val="right" w:pos="5292"/>
      </w:tabs>
      <w:spacing w:after="0" w:line="240" w:lineRule="auto"/>
      <w:jc w:val="right"/>
    </w:pPr>
    <w:rPr>
      <w:sz w:val="20"/>
    </w:rPr>
  </w:style>
  <w:style w:type="paragraph" w:customStyle="1" w:styleId="SAP-TableCell">
    <w:name w:val="SAP-Table Cell"/>
    <w:qFormat/>
    <w:pPr>
      <w:spacing w:after="0" w:line="200" w:lineRule="exact"/>
      <w:jc w:val="center"/>
    </w:pPr>
    <w:rPr>
      <w:sz w:val="16"/>
    </w:rPr>
  </w:style>
  <w:style w:type="paragraph" w:customStyle="1" w:styleId="SAP-Level3HeadingSingleline">
    <w:name w:val="SAP-Level 3 Heading Single line"/>
    <w:next w:val="SAP-Paragraph"/>
    <w:qFormat/>
    <w:pPr>
      <w:spacing w:before="187" w:after="93" w:line="240" w:lineRule="exact"/>
      <w:jc w:val="both"/>
    </w:pPr>
    <w:rPr>
      <w:sz w:val="20"/>
    </w:rPr>
  </w:style>
  <w:style w:type="paragraph" w:styleId="NormalWeb">
    <w:name w:val="Normal (Web)"/>
    <w:basedOn w:val="Normal"/>
    <w:uiPriority w:val="99"/>
    <w:pPr>
      <w:spacing w:before="100" w:beforeAutospacing="1" w:after="100" w:afterAutospacing="1"/>
    </w:pPr>
  </w:style>
  <w:style w:type="paragraph" w:styleId="BalloonText">
    <w:name w:val="Balloon Text"/>
    <w:basedOn w:val="Normal"/>
    <w:link w:val="BalloonTextChar"/>
    <w:semiHidden/>
    <w:rPr>
      <w:rFonts w:ascii="Tahoma" w:hAnsi="Tahoma"/>
      <w:sz w:val="16"/>
    </w:rPr>
  </w:style>
  <w:style w:type="paragraph" w:customStyle="1" w:styleId="FooterEven">
    <w:name w:val="Footer Even"/>
    <w:basedOn w:val="Normal"/>
    <w:qFormat/>
    <w:pPr>
      <w:spacing w:after="180" w:line="264" w:lineRule="auto"/>
    </w:pPr>
    <w:rPr>
      <w:rFonts w:ascii="Calibri" w:hAnsi="Calibri"/>
      <w:color w:val="1F497D"/>
      <w:sz w:val="20"/>
    </w:rPr>
  </w:style>
  <w:style w:type="paragraph" w:styleId="FootnoteText">
    <w:name w:val="footnote text"/>
    <w:basedOn w:val="Normal"/>
    <w:link w:val="FootnoteTextChar"/>
    <w:rPr>
      <w:rFonts w:ascii="Calibri" w:hAnsi="Calibri"/>
      <w:sz w:val="20"/>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link w:val="CommentSubjectChar"/>
    <w:semiHidden/>
    <w:rPr>
      <w:b/>
    </w:rPr>
  </w:style>
  <w:style w:type="paragraph" w:styleId="HTMLPreformatted">
    <w:name w:val="HTML Preformatted"/>
    <w:basedOn w:val="Normal"/>
    <w:link w:val="HTMLPreformattedChar"/>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paragraph" w:customStyle="1" w:styleId="comp">
    <w:name w:val="comp"/>
    <w:basedOn w:val="Normal"/>
    <w:pPr>
      <w:spacing w:before="100" w:beforeAutospacing="1" w:after="100" w:afterAutospacing="1"/>
    </w:pPr>
  </w:style>
  <w:style w:type="paragraph" w:customStyle="1" w:styleId="articlebodynormaltext">
    <w:name w:val="articlebody_normaltext"/>
    <w:basedOn w:val="Normal"/>
    <w:pPr>
      <w:spacing w:before="100" w:beforeAutospacing="1" w:after="100" w:afterAutospacing="1"/>
    </w:pPr>
  </w:style>
  <w:style w:type="paragraph" w:customStyle="1" w:styleId="Abstract">
    <w:name w:val="Abstract"/>
    <w:basedOn w:val="Normal"/>
    <w:qFormat/>
    <w:pPr>
      <w:spacing w:after="120"/>
      <w:jc w:val="both"/>
    </w:pPr>
    <w:rPr>
      <w:sz w:val="22"/>
    </w:rPr>
  </w:style>
  <w:style w:type="paragraph" w:customStyle="1" w:styleId="References">
    <w:name w:val="References"/>
    <w:basedOn w:val="Normal"/>
    <w:qFormat/>
    <w:pPr>
      <w:ind w:left="567" w:hanging="567"/>
      <w:jc w:val="both"/>
    </w:pPr>
    <w:rPr>
      <w:sz w:val="22"/>
    </w:rPr>
  </w:style>
  <w:style w:type="paragraph" w:customStyle="1" w:styleId="author">
    <w:name w:val="author"/>
    <w:basedOn w:val="Normal"/>
    <w:pPr>
      <w:spacing w:before="100" w:beforeAutospacing="1" w:after="100" w:afterAutospacing="1"/>
    </w:pPr>
  </w:style>
  <w:style w:type="character" w:styleId="LineNumber">
    <w:name w:val="line number"/>
    <w:basedOn w:val="DefaultParagraphFont"/>
    <w:semiHidden/>
  </w:style>
  <w:style w:type="character" w:styleId="Hyperlink">
    <w:name w:val="Hyperlink"/>
    <w:rPr>
      <w:color w:val="0000FF"/>
      <w:u w:val="single"/>
    </w:rPr>
  </w:style>
  <w:style w:type="character" w:customStyle="1" w:styleId="Heading1Char">
    <w:name w:val="Heading 1 Char"/>
    <w:basedOn w:val="DefaultParagraphFont"/>
    <w:link w:val="Heading1"/>
    <w:rPr>
      <w:b/>
      <w:sz w:val="32"/>
    </w:rPr>
  </w:style>
  <w:style w:type="character" w:customStyle="1" w:styleId="Heading2Char">
    <w:name w:val="Heading 2 Char"/>
    <w:basedOn w:val="DefaultParagraphFont"/>
    <w:link w:val="Heading2"/>
    <w:rPr>
      <w:b/>
      <w:sz w:val="28"/>
    </w:rPr>
  </w:style>
  <w:style w:type="character" w:customStyle="1" w:styleId="Heading3Char">
    <w:name w:val="Heading 3 Char"/>
    <w:basedOn w:val="DefaultParagraphFont"/>
    <w:link w:val="Heading3"/>
    <w:rPr>
      <w:b/>
    </w:rPr>
  </w:style>
  <w:style w:type="character" w:customStyle="1" w:styleId="Heading4Char">
    <w:name w:val="Heading 4 Char"/>
    <w:basedOn w:val="DefaultParagraphFont"/>
    <w:link w:val="Heading4"/>
    <w:rPr>
      <w:b/>
      <w:sz w:val="22"/>
    </w:rPr>
  </w:style>
  <w:style w:type="character" w:customStyle="1" w:styleId="Heading5Char">
    <w:name w:val="Heading 5 Char"/>
    <w:basedOn w:val="DefaultParagraphFont"/>
    <w:link w:val="Heading5"/>
    <w:semiHidden/>
    <w:rPr>
      <w:rFonts w:ascii="Calibri" w:hAnsi="Calibri"/>
      <w:b/>
      <w:i/>
      <w:sz w:val="26"/>
    </w:rPr>
  </w:style>
  <w:style w:type="character" w:customStyle="1" w:styleId="Heading6Char">
    <w:name w:val="Heading 6 Char"/>
    <w:basedOn w:val="DefaultParagraphFont"/>
    <w:link w:val="Heading6"/>
    <w:semiHidden/>
    <w:rPr>
      <w:rFonts w:ascii="Calibri" w:hAnsi="Calibri"/>
      <w:b/>
      <w:sz w:val="22"/>
    </w:rPr>
  </w:style>
  <w:style w:type="character" w:customStyle="1" w:styleId="Heading7Char">
    <w:name w:val="Heading 7 Char"/>
    <w:basedOn w:val="DefaultParagraphFont"/>
    <w:link w:val="Heading7"/>
    <w:semiHidden/>
    <w:rPr>
      <w:rFonts w:ascii="Calibri" w:hAnsi="Calibri"/>
    </w:rPr>
  </w:style>
  <w:style w:type="character" w:customStyle="1" w:styleId="Heading8Char">
    <w:name w:val="Heading 8 Char"/>
    <w:basedOn w:val="DefaultParagraphFont"/>
    <w:link w:val="Heading8"/>
    <w:semiHidden/>
    <w:rPr>
      <w:rFonts w:ascii="Calibri" w:hAnsi="Calibri"/>
      <w:i/>
    </w:rPr>
  </w:style>
  <w:style w:type="character" w:customStyle="1" w:styleId="Heading9Char">
    <w:name w:val="Heading 9 Char"/>
    <w:basedOn w:val="DefaultParagraphFont"/>
    <w:link w:val="Heading9"/>
    <w:semiHidden/>
    <w:rPr>
      <w:rFonts w:ascii="Calibri Light" w:hAnsi="Calibri Light"/>
      <w:sz w:val="22"/>
    </w:rPr>
  </w:style>
  <w:style w:type="character" w:customStyle="1" w:styleId="BodyTextChar">
    <w:name w:val="Body Text Char"/>
    <w:basedOn w:val="DefaultParagraphFont"/>
    <w:link w:val="BodyText"/>
  </w:style>
  <w:style w:type="character" w:customStyle="1" w:styleId="EndnoteTextChar">
    <w:name w:val="Endnote Text Char"/>
    <w:basedOn w:val="DefaultParagraphFont"/>
    <w:link w:val="EndnoteText"/>
    <w:semiHidden/>
    <w:rPr>
      <w:rFonts w:ascii="Arial" w:hAnsi="Arial"/>
    </w:rPr>
  </w:style>
  <w:style w:type="character" w:customStyle="1" w:styleId="BodyTextIndent2Char">
    <w:name w:val="Body Text Indent 2 Char"/>
    <w:basedOn w:val="DefaultParagraphFont"/>
    <w:link w:val="BodyTextIndent2"/>
    <w:semiHidden/>
    <w:rPr>
      <w:sz w:val="22"/>
    </w:rPr>
  </w:style>
  <w:style w:type="character" w:customStyle="1" w:styleId="Url">
    <w:name w:val="Url"/>
    <w:rPr>
      <w:rFonts w:ascii="Helvetica Condensed" w:hAnsi="Helvetica Condensed"/>
      <w:color w:val="008000"/>
      <w:sz w:val="18"/>
    </w:rPr>
  </w:style>
  <w:style w:type="character" w:customStyle="1" w:styleId="HeaderChar">
    <w:name w:val="Header Char"/>
    <w:basedOn w:val="DefaultParagraphFont"/>
    <w:link w:val="Header"/>
  </w:style>
  <w:style w:type="character" w:styleId="PageNumber">
    <w:name w:val="page number"/>
    <w:basedOn w:val="DefaultParagraphFont"/>
    <w:semiHidden/>
  </w:style>
  <w:style w:type="character" w:customStyle="1" w:styleId="FooterChar">
    <w:name w:val="Footer Char"/>
    <w:basedOn w:val="DefaultParagraphFont"/>
    <w:link w:val="Footer"/>
  </w:style>
  <w:style w:type="character" w:customStyle="1" w:styleId="SAP-ParagraphChar">
    <w:name w:val="SAP-Paragraph Char"/>
    <w:link w:val="SAP-Paragraph"/>
    <w:rPr>
      <w:rFonts w:ascii="Times New Roman" w:hAnsi="Times New Roman"/>
      <w:sz w:val="20"/>
    </w:rPr>
  </w:style>
  <w:style w:type="character" w:customStyle="1" w:styleId="st1">
    <w:name w:val="st1"/>
    <w:basedOn w:val="DefaultParagraphFont"/>
  </w:style>
  <w:style w:type="character" w:customStyle="1" w:styleId="apple-converted-space">
    <w:name w:val="apple-converted-space"/>
  </w:style>
  <w:style w:type="character" w:customStyle="1" w:styleId="BalloonTextChar">
    <w:name w:val="Balloon Text Char"/>
    <w:basedOn w:val="DefaultParagraphFont"/>
    <w:link w:val="BalloonText"/>
    <w:semiHidden/>
    <w:rPr>
      <w:rFonts w:ascii="Tahoma" w:hAnsi="Tahoma"/>
      <w:sz w:val="16"/>
    </w:rPr>
  </w:style>
  <w:style w:type="character" w:styleId="FollowedHyperlink">
    <w:name w:val="FollowedHyperlink"/>
    <w:semiHidden/>
    <w:rPr>
      <w:color w:val="800080"/>
      <w:u w:val="single"/>
    </w:rPr>
  </w:style>
  <w:style w:type="character" w:customStyle="1" w:styleId="FootnoteTextChar">
    <w:name w:val="Footnote Text Char"/>
    <w:basedOn w:val="DefaultParagraphFont"/>
    <w:link w:val="FootnoteText"/>
    <w:rPr>
      <w:rFonts w:ascii="Calibri" w:hAnsi="Calibri"/>
      <w:sz w:val="20"/>
    </w:rPr>
  </w:style>
  <w:style w:type="character" w:styleId="FootnoteReference">
    <w:name w:val="footnote reference"/>
    <w:uiPriority w:val="99"/>
    <w:semiHidden/>
    <w:rPr>
      <w:vertAlign w:val="superscript"/>
    </w:rPr>
  </w:style>
  <w:style w:type="character" w:customStyle="1" w:styleId="UnresolvedMention1">
    <w:name w:val="Unresolved Mention1"/>
    <w:semiHidden/>
    <w:rPr>
      <w:color w:val="605E5C"/>
      <w:highlight w:val="lightGray"/>
    </w:rPr>
  </w:style>
  <w:style w:type="character" w:customStyle="1" w:styleId="textexposedshow">
    <w:name w:val="text_exposed_show"/>
    <w:basedOn w:val="DefaultParagraphFont"/>
  </w:style>
  <w:style w:type="character" w:styleId="Emphasis">
    <w:name w:val="Emphasis"/>
    <w:qFormat/>
    <w:rPr>
      <w:i/>
    </w:rPr>
  </w:style>
  <w:style w:type="character" w:styleId="CommentReference">
    <w:name w:val="annotation reference"/>
    <w:semiHidden/>
    <w:rPr>
      <w:sz w:val="16"/>
    </w:rPr>
  </w:style>
  <w:style w:type="character" w:customStyle="1" w:styleId="CommentTextChar">
    <w:name w:val="Comment Text Char"/>
    <w:basedOn w:val="DefaultParagraphFont"/>
    <w:link w:val="CommentText"/>
    <w:semiHidden/>
    <w:rPr>
      <w:sz w:val="20"/>
    </w:rPr>
  </w:style>
  <w:style w:type="character" w:customStyle="1" w:styleId="CommentSubjectChar">
    <w:name w:val="Comment Subject Char"/>
    <w:basedOn w:val="CommentTextChar"/>
    <w:link w:val="CommentSubject"/>
    <w:semiHidden/>
    <w:rPr>
      <w:b/>
      <w:sz w:val="20"/>
    </w:rPr>
  </w:style>
  <w:style w:type="character" w:customStyle="1" w:styleId="HTMLPreformattedChar">
    <w:name w:val="HTML Preformatted Char"/>
    <w:basedOn w:val="DefaultParagraphFont"/>
    <w:link w:val="HTMLPreformatted"/>
    <w:semiHidden/>
    <w:rPr>
      <w:rFonts w:ascii="Courier New" w:hAnsi="Courier New"/>
      <w:sz w:val="20"/>
    </w:rPr>
  </w:style>
  <w:style w:type="character" w:customStyle="1" w:styleId="fontstyle01">
    <w:name w:val="fontstyle01"/>
    <w:rPr>
      <w:rFonts w:ascii="Times-Italic" w:hAnsi="Times-Italic"/>
      <w:b w:val="0"/>
      <w:i/>
      <w:color w:val="000000"/>
      <w:sz w:val="20"/>
    </w:rPr>
  </w:style>
  <w:style w:type="character" w:customStyle="1" w:styleId="fontstyle21">
    <w:name w:val="fontstyle21"/>
    <w:rPr>
      <w:rFonts w:ascii="Times-Roman" w:hAnsi="Times-Roman"/>
      <w:b w:val="0"/>
      <w:i w:val="0"/>
      <w:color w:val="000000"/>
      <w:sz w:val="20"/>
    </w:rPr>
  </w:style>
  <w:style w:type="character" w:customStyle="1" w:styleId="mwe-math-mathml-inline">
    <w:name w:val="mwe-math-mathml-inline"/>
    <w:basedOn w:val="DefaultParagraphFont"/>
  </w:style>
  <w:style w:type="character" w:customStyle="1" w:styleId="fontstyle31">
    <w:name w:val="fontstyle31"/>
    <w:rPr>
      <w:rFonts w:ascii="Raleway-Regular" w:hAnsi="Raleway-Regular"/>
      <w:b w:val="0"/>
      <w:i w:val="0"/>
      <w:color w:val="666666"/>
      <w:sz w:val="26"/>
    </w:rPr>
  </w:style>
  <w:style w:type="character" w:customStyle="1" w:styleId="mw-headline">
    <w:name w:val="mw-headline"/>
    <w:basedOn w:val="DefaultParagraphFont"/>
  </w:style>
  <w:style w:type="character" w:customStyle="1" w:styleId="nowrap">
    <w:name w:val="nowrap"/>
    <w:basedOn w:val="DefaultParagraphFont"/>
  </w:style>
  <w:style w:type="character" w:customStyle="1" w:styleId="texhtml">
    <w:name w:val="texhtml"/>
    <w:basedOn w:val="DefaultParagraphFont"/>
  </w:style>
  <w:style w:type="character" w:customStyle="1" w:styleId="mntl-sc-block-headingtext">
    <w:name w:val="mntl-sc-block-heading__text"/>
    <w:basedOn w:val="DefaultParagraphFont"/>
  </w:style>
  <w:style w:type="character" w:customStyle="1" w:styleId="mntl-inline-citation">
    <w:name w:val="mntl-inline-citation"/>
    <w:basedOn w:val="DefaultParagraphFont"/>
  </w:style>
  <w:style w:type="character" w:customStyle="1" w:styleId="mntl-sc-block-subheadingtext">
    <w:name w:val="mntl-sc-block-subheading__text"/>
    <w:basedOn w:val="DefaultParagraphFont"/>
  </w:style>
  <w:style w:type="character" w:customStyle="1" w:styleId="highlight">
    <w:name w:val="highlight"/>
    <w:basedOn w:val="DefaultParagraphFont"/>
  </w:style>
  <w:style w:type="character" w:customStyle="1" w:styleId="gi">
    <w:name w:val="gi"/>
    <w:basedOn w:val="DefaultParagraphFont"/>
  </w:style>
  <w:style w:type="character" w:styleId="Strong">
    <w:name w:val="Strong"/>
    <w:uiPriority w:val="22"/>
    <w:qFormat/>
    <w:rPr>
      <w:b/>
    </w:rPr>
  </w:style>
  <w:style w:type="character" w:customStyle="1" w:styleId="reference-text">
    <w:name w:val="reference-text"/>
    <w:basedOn w:val="DefaultParagraphFont"/>
  </w:style>
  <w:style w:type="character" w:customStyle="1" w:styleId="fontstyle41">
    <w:name w:val="fontstyle41"/>
    <w:rPr>
      <w:rFonts w:ascii="AdvOTd877c31c+20" w:hAnsi="AdvOTd877c31c+20"/>
      <w:b w:val="0"/>
      <w:i w:val="0"/>
      <w:color w:val="000000"/>
      <w:sz w:val="18"/>
    </w:rPr>
  </w:style>
  <w:style w:type="table" w:styleId="TableSimple1">
    <w:name w:val="Table Simple 1"/>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pPr>
      <w:spacing w:after="0" w:line="240" w:lineRule="auto"/>
    </w:pPr>
    <w:rPr>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F11B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2821177">
      <w:bodyDiv w:val="1"/>
      <w:marLeft w:val="0"/>
      <w:marRight w:val="0"/>
      <w:marTop w:val="0"/>
      <w:marBottom w:val="0"/>
      <w:divBdr>
        <w:top w:val="none" w:sz="0" w:space="0" w:color="auto"/>
        <w:left w:val="none" w:sz="0" w:space="0" w:color="auto"/>
        <w:bottom w:val="none" w:sz="0" w:space="0" w:color="auto"/>
        <w:right w:val="none" w:sz="0" w:space="0" w:color="auto"/>
      </w:divBdr>
    </w:div>
    <w:div w:id="385493754">
      <w:bodyDiv w:val="1"/>
      <w:marLeft w:val="0"/>
      <w:marRight w:val="0"/>
      <w:marTop w:val="0"/>
      <w:marBottom w:val="0"/>
      <w:divBdr>
        <w:top w:val="none" w:sz="0" w:space="0" w:color="auto"/>
        <w:left w:val="none" w:sz="0" w:space="0" w:color="auto"/>
        <w:bottom w:val="none" w:sz="0" w:space="0" w:color="auto"/>
        <w:right w:val="none" w:sz="0" w:space="0" w:color="auto"/>
      </w:divBdr>
    </w:div>
    <w:div w:id="668945166">
      <w:bodyDiv w:val="1"/>
      <w:marLeft w:val="0"/>
      <w:marRight w:val="0"/>
      <w:marTop w:val="0"/>
      <w:marBottom w:val="0"/>
      <w:divBdr>
        <w:top w:val="none" w:sz="0" w:space="0" w:color="auto"/>
        <w:left w:val="none" w:sz="0" w:space="0" w:color="auto"/>
        <w:bottom w:val="none" w:sz="0" w:space="0" w:color="auto"/>
        <w:right w:val="none" w:sz="0" w:space="0" w:color="auto"/>
      </w:divBdr>
    </w:div>
    <w:div w:id="1808933719">
      <w:bodyDiv w:val="1"/>
      <w:marLeft w:val="0"/>
      <w:marRight w:val="0"/>
      <w:marTop w:val="0"/>
      <w:marBottom w:val="0"/>
      <w:divBdr>
        <w:top w:val="none" w:sz="0" w:space="0" w:color="auto"/>
        <w:left w:val="none" w:sz="0" w:space="0" w:color="auto"/>
        <w:bottom w:val="none" w:sz="0" w:space="0" w:color="auto"/>
        <w:right w:val="none" w:sz="0" w:space="0" w:color="auto"/>
      </w:divBdr>
    </w:div>
    <w:div w:id="1844276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8.emf"/><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1.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jurnal.ugm.ac.id/gamaijb/pages/view/ABOUT%20THE%20AUTHOR" TargetMode="External"/><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2.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impan.ugm.ac.id/s/P0El49zSIEFv7EF" TargetMode="External"/><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emf"/><Relationship Id="rId44"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emf"/><Relationship Id="rId35" Type="http://schemas.openxmlformats.org/officeDocument/2006/relationships/image" Target="media/image24.png"/><Relationship Id="rId43" Type="http://schemas.openxmlformats.org/officeDocument/2006/relationships/image" Target="media/image32.e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13.emf"/><Relationship Id="rId38" Type="http://schemas.openxmlformats.org/officeDocument/2006/relationships/image" Target="media/image27.emf"/><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5F675-8CCD-47E0-B83D-F468A36E3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Pages>
  <Words>9220</Words>
  <Characters>52556</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dcterms:created xsi:type="dcterms:W3CDTF">2021-01-20T10:30:00Z</dcterms:created>
  <dcterms:modified xsi:type="dcterms:W3CDTF">2021-01-20T11:56:00Z</dcterms:modified>
</cp:coreProperties>
</file>