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38" w:rsidRDefault="00B66B38" w:rsidP="00B66B38">
      <w:pPr>
        <w:rPr>
          <w:rFonts w:ascii="Times New Roman" w:hAnsi="Times New Roman" w:cs="Times New Roman"/>
          <w:b/>
        </w:rPr>
      </w:pPr>
      <w:r>
        <w:rPr>
          <w:rFonts w:ascii="Times New Roman" w:hAnsi="Times New Roman" w:cs="Times New Roman"/>
          <w:b/>
        </w:rPr>
        <w:t>Figure 1. Dividend Paying Firms on the Indonesian Stock Exchange (IDX) 1995-2011.</w:t>
      </w:r>
    </w:p>
    <w:p w:rsidR="00B66B38" w:rsidRDefault="00B66B38" w:rsidP="00B66B38">
      <w:pPr>
        <w:jc w:val="both"/>
        <w:rPr>
          <w:rFonts w:ascii="Times New Roman" w:hAnsi="Times New Roman" w:cs="Times New Roman"/>
        </w:rPr>
      </w:pPr>
      <w:r>
        <w:rPr>
          <w:rFonts w:ascii="Times New Roman" w:hAnsi="Times New Roman" w:cs="Times New Roman"/>
        </w:rPr>
        <w:t xml:space="preserve">Figure 1 describes the number of dividend payers in the period from 1995 to 2011, compared to the total number of firms on the Indonesian Stock Exchange (IDX). We excluded the financial and utility industries, and firms with negative equity.  </w:t>
      </w:r>
    </w:p>
    <w:p w:rsidR="00B66B38" w:rsidRDefault="00B66B38" w:rsidP="00B66B38">
      <w:pPr>
        <w:jc w:val="center"/>
        <w:rPr>
          <w:rFonts w:ascii="Times New Roman" w:hAnsi="Times New Roman" w:cs="Times New Roman"/>
        </w:rPr>
      </w:pPr>
      <w:r>
        <w:rPr>
          <w:rFonts w:ascii="Times New Roman" w:hAnsi="Times New Roman" w:cs="Times New Roman"/>
          <w:noProof/>
          <w:lang w:val="en-GB" w:eastAsia="en-GB"/>
        </w:rPr>
        <w:drawing>
          <wp:inline distT="0" distB="0" distL="0" distR="0">
            <wp:extent cx="5276850" cy="3148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3148330"/>
                    </a:xfrm>
                    <a:prstGeom prst="rect">
                      <a:avLst/>
                    </a:prstGeom>
                    <a:noFill/>
                    <a:ln>
                      <a:noFill/>
                    </a:ln>
                  </pic:spPr>
                </pic:pic>
              </a:graphicData>
            </a:graphic>
          </wp:inline>
        </w:drawing>
      </w:r>
    </w:p>
    <w:p w:rsidR="00B66B38" w:rsidRDefault="00B66B38" w:rsidP="00B66B38">
      <w:pPr>
        <w:ind w:firstLine="720"/>
        <w:rPr>
          <w:rFonts w:ascii="Times New Roman" w:hAnsi="Times New Roman" w:cs="Times New Roman"/>
          <w:sz w:val="20"/>
        </w:rPr>
      </w:pPr>
      <w:r>
        <w:rPr>
          <w:rFonts w:ascii="Times New Roman" w:hAnsi="Times New Roman" w:cs="Times New Roman"/>
          <w:sz w:val="20"/>
        </w:rPr>
        <w:t>Source: Authors computation.</w:t>
      </w: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rPr>
          <w:rFonts w:ascii="Times New Roman" w:hAnsi="Times New Roman" w:cs="Times New Roman"/>
          <w:b/>
        </w:rPr>
      </w:pPr>
    </w:p>
    <w:p w:rsidR="00B66B38" w:rsidRDefault="00B66B38" w:rsidP="00B66B38">
      <w:pPr>
        <w:tabs>
          <w:tab w:val="left" w:pos="6495"/>
        </w:tabs>
        <w:rPr>
          <w:rFonts w:ascii="Times New Roman" w:hAnsi="Times New Roman" w:cs="Times New Roman"/>
          <w:lang w:val="en-GB"/>
        </w:rPr>
      </w:pPr>
      <w:r>
        <w:rPr>
          <w:rFonts w:ascii="Times New Roman" w:hAnsi="Times New Roman" w:cs="Times New Roman"/>
        </w:rPr>
        <w:lastRenderedPageBreak/>
        <w:fldChar w:fldCharType="begin"/>
      </w:r>
      <w:r>
        <w:rPr>
          <w:rFonts w:ascii="Times New Roman" w:hAnsi="Times New Roman" w:cs="Times New Roman"/>
        </w:rPr>
        <w:instrText xml:space="preserve"> LINK Excel.Sheet.12 "Book1" "Sheet1!R5C4:R24C12" \a \f 4 \h  \* MERGEFORMAT </w:instrText>
      </w:r>
      <w:r>
        <w:rPr>
          <w:rFonts w:ascii="Times New Roman" w:hAnsi="Times New Roman" w:cs="Times New Roman"/>
        </w:rPr>
        <w:fldChar w:fldCharType="separate"/>
      </w:r>
    </w:p>
    <w:tbl>
      <w:tblPr>
        <w:tblW w:w="9188" w:type="dxa"/>
        <w:tblLook w:val="04A0" w:firstRow="1" w:lastRow="0" w:firstColumn="1" w:lastColumn="0" w:noHBand="0" w:noVBand="1"/>
      </w:tblPr>
      <w:tblGrid>
        <w:gridCol w:w="1194"/>
        <w:gridCol w:w="962"/>
        <w:gridCol w:w="971"/>
        <w:gridCol w:w="971"/>
        <w:gridCol w:w="971"/>
        <w:gridCol w:w="961"/>
        <w:gridCol w:w="986"/>
        <w:gridCol w:w="971"/>
        <w:gridCol w:w="971"/>
        <w:gridCol w:w="8"/>
        <w:gridCol w:w="222"/>
      </w:tblGrid>
      <w:tr w:rsidR="00B66B38" w:rsidRPr="00B66B38" w:rsidTr="00B66B38">
        <w:trPr>
          <w:gridAfter w:val="1"/>
          <w:trHeight w:val="211"/>
        </w:trPr>
        <w:tc>
          <w:tcPr>
            <w:tcW w:w="8973" w:type="dxa"/>
            <w:gridSpan w:val="10"/>
            <w:tcBorders>
              <w:top w:val="nil"/>
              <w:left w:val="nil"/>
              <w:bottom w:val="single" w:sz="8" w:space="0" w:color="auto"/>
              <w:right w:val="nil"/>
            </w:tcBorders>
            <w:shd w:val="clear" w:color="auto" w:fill="FFFFFF"/>
            <w:vAlign w:val="center"/>
            <w:hideMark/>
          </w:tcPr>
          <w:p w:rsidR="00B66B38" w:rsidRPr="00B66B38" w:rsidRDefault="00B66B38">
            <w:pPr>
              <w:spacing w:after="0"/>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 xml:space="preserve">Table 1. Descriptive </w:t>
            </w:r>
            <w:proofErr w:type="spellStart"/>
            <w:r w:rsidRPr="00B66B38">
              <w:rPr>
                <w:rFonts w:ascii="Times New Roman" w:eastAsia="Times New Roman" w:hAnsi="Times New Roman" w:cs="Times New Roman"/>
                <w:sz w:val="20"/>
                <w:szCs w:val="20"/>
                <w:lang w:val="fr-FR" w:eastAsia="en-GB"/>
              </w:rPr>
              <w:t>statistics</w:t>
            </w:r>
            <w:proofErr w:type="spellEnd"/>
          </w:p>
        </w:tc>
      </w:tr>
      <w:tr w:rsidR="00B66B38" w:rsidRPr="00B66B38" w:rsidTr="00B66B38">
        <w:trPr>
          <w:gridAfter w:val="2"/>
          <w:wAfter w:w="223" w:type="dxa"/>
          <w:trHeight w:val="211"/>
        </w:trPr>
        <w:tc>
          <w:tcPr>
            <w:tcW w:w="1194"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 </w:t>
            </w:r>
          </w:p>
        </w:tc>
        <w:tc>
          <w:tcPr>
            <w:tcW w:w="963"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N</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proofErr w:type="spellStart"/>
            <w:r w:rsidRPr="00B66B38">
              <w:rPr>
                <w:rFonts w:ascii="Times New Roman" w:eastAsia="Times New Roman" w:hAnsi="Times New Roman" w:cs="Times New Roman"/>
                <w:sz w:val="20"/>
                <w:szCs w:val="20"/>
                <w:lang w:val="fr-FR" w:eastAsia="en-GB"/>
              </w:rPr>
              <w:t>Mean</w:t>
            </w:r>
            <w:proofErr w:type="spellEnd"/>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proofErr w:type="spellStart"/>
            <w:r w:rsidRPr="00B66B38">
              <w:rPr>
                <w:rFonts w:ascii="Times New Roman" w:eastAsia="Times New Roman" w:hAnsi="Times New Roman" w:cs="Times New Roman"/>
                <w:sz w:val="20"/>
                <w:szCs w:val="20"/>
                <w:lang w:val="fr-FR" w:eastAsia="en-GB"/>
              </w:rPr>
              <w:t>sd</w:t>
            </w:r>
            <w:proofErr w:type="spellEnd"/>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Min</w:t>
            </w:r>
          </w:p>
        </w:tc>
        <w:tc>
          <w:tcPr>
            <w:tcW w:w="962"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p25</w:t>
            </w:r>
          </w:p>
        </w:tc>
        <w:tc>
          <w:tcPr>
            <w:tcW w:w="986"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p50</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p75</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center"/>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Max</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DDIV</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0.534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0.499</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proofErr w:type="spellStart"/>
            <w:r w:rsidRPr="00B66B38">
              <w:rPr>
                <w:rFonts w:ascii="Times New Roman" w:eastAsia="Times New Roman" w:hAnsi="Times New Roman" w:cs="Times New Roman"/>
                <w:i/>
                <w:sz w:val="20"/>
                <w:szCs w:val="20"/>
                <w:lang w:val="fr-FR" w:eastAsia="en-GB"/>
              </w:rPr>
              <w:t>Div</w:t>
            </w:r>
            <w:proofErr w:type="spellEnd"/>
            <w:r w:rsidRPr="00B66B38">
              <w:rPr>
                <w:rFonts w:ascii="Times New Roman" w:eastAsia="Times New Roman" w:hAnsi="Times New Roman" w:cs="Times New Roman"/>
                <w:i/>
                <w:sz w:val="20"/>
                <w:szCs w:val="20"/>
                <w:lang w:val="fr-FR" w:eastAsia="en-GB"/>
              </w:rPr>
              <w:t>/TA</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0.016</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0.041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0.00004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0.0145</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0.21</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RE/TE</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-0.264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2.126</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-23.446</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-0.079</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0.211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0.486</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0.947</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Age</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25.963</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15.768</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16</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31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109</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FCF/TA</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0.002</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0.111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-0.674</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-0.039</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0.049</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0.756</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LC-Index</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2.557</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0.645</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2.5</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3</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4</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ROA</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0.035</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0.118</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-1.262</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0.003</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0.031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0.074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1.49</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M/B</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1.768</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2.446</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0.125</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0.571</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1.018</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1.992</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31.209</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Cash/TA</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0.115</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0.114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0.026</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0.076</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0.167</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0.945</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Size (%)</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0.179</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0.62</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0.004</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0.024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0.102</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9.848</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D/TA</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0.289</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0.216</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0.097</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0.27</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0.455</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0.809</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proofErr w:type="spellStart"/>
            <w:r w:rsidRPr="00B66B38">
              <w:rPr>
                <w:rFonts w:ascii="Times New Roman" w:eastAsia="Times New Roman" w:hAnsi="Times New Roman" w:cs="Times New Roman"/>
                <w:i/>
                <w:sz w:val="20"/>
                <w:szCs w:val="20"/>
                <w:lang w:val="fr-FR" w:eastAsia="en-GB"/>
              </w:rPr>
              <w:t>Largest</w:t>
            </w:r>
            <w:proofErr w:type="spellEnd"/>
            <w:r w:rsidRPr="00B66B38">
              <w:rPr>
                <w:rFonts w:ascii="Times New Roman" w:eastAsia="Times New Roman" w:hAnsi="Times New Roman" w:cs="Times New Roman"/>
                <w:i/>
                <w:sz w:val="20"/>
                <w:szCs w:val="20"/>
                <w:lang w:val="fr-FR" w:eastAsia="en-GB"/>
              </w:rPr>
              <w:t xml:space="preserve"> SH</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0.481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0.251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0.001</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0.31</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0.501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0.638</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0.993</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proofErr w:type="spellStart"/>
            <w:r w:rsidRPr="00B66B38">
              <w:rPr>
                <w:rFonts w:ascii="Times New Roman" w:eastAsia="Times New Roman" w:hAnsi="Times New Roman" w:cs="Times New Roman"/>
                <w:i/>
                <w:sz w:val="20"/>
                <w:szCs w:val="20"/>
                <w:lang w:val="fr-FR" w:eastAsia="en-GB"/>
              </w:rPr>
              <w:t>Corporate</w:t>
            </w:r>
            <w:proofErr w:type="spellEnd"/>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0.504</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0.5</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r w:rsidRPr="00B66B38">
              <w:rPr>
                <w:rFonts w:ascii="Times New Roman" w:eastAsia="Times New Roman" w:hAnsi="Times New Roman" w:cs="Times New Roman"/>
                <w:i/>
                <w:sz w:val="20"/>
                <w:szCs w:val="20"/>
                <w:lang w:val="fr-FR" w:eastAsia="en-GB"/>
              </w:rPr>
              <w:t>State</w:t>
            </w:r>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0.03</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0.17</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r>
      <w:tr w:rsidR="00B66B38" w:rsidRPr="00B66B38" w:rsidTr="00B66B38">
        <w:trPr>
          <w:gridAfter w:val="2"/>
          <w:wAfter w:w="223" w:type="dxa"/>
          <w:trHeight w:val="211"/>
        </w:trPr>
        <w:tc>
          <w:tcPr>
            <w:tcW w:w="1194" w:type="dxa"/>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proofErr w:type="spellStart"/>
            <w:r w:rsidRPr="00B66B38">
              <w:rPr>
                <w:rFonts w:ascii="Times New Roman" w:eastAsia="Times New Roman" w:hAnsi="Times New Roman" w:cs="Times New Roman"/>
                <w:i/>
                <w:sz w:val="20"/>
                <w:szCs w:val="20"/>
                <w:lang w:val="fr-FR" w:eastAsia="en-GB"/>
              </w:rPr>
              <w:t>Insider</w:t>
            </w:r>
            <w:proofErr w:type="spellEnd"/>
          </w:p>
        </w:tc>
        <w:tc>
          <w:tcPr>
            <w:tcW w:w="963"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0.012</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0.109</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86"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72" w:type="dxa"/>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r>
      <w:tr w:rsidR="00B66B38" w:rsidRPr="00B66B38" w:rsidTr="00B66B38">
        <w:trPr>
          <w:gridAfter w:val="2"/>
          <w:wAfter w:w="223" w:type="dxa"/>
          <w:trHeight w:val="211"/>
        </w:trPr>
        <w:tc>
          <w:tcPr>
            <w:tcW w:w="1194" w:type="dxa"/>
            <w:tcBorders>
              <w:top w:val="nil"/>
              <w:left w:val="nil"/>
              <w:bottom w:val="single" w:sz="8" w:space="0" w:color="auto"/>
              <w:right w:val="nil"/>
            </w:tcBorders>
            <w:shd w:val="clear" w:color="auto" w:fill="FFFFFF"/>
            <w:vAlign w:val="center"/>
            <w:hideMark/>
          </w:tcPr>
          <w:p w:rsidR="00B66B38" w:rsidRPr="00B66B38" w:rsidRDefault="00B66B38">
            <w:pPr>
              <w:spacing w:after="0"/>
              <w:rPr>
                <w:rFonts w:ascii="Times New Roman" w:eastAsia="Times New Roman" w:hAnsi="Times New Roman" w:cs="Times New Roman"/>
                <w:i/>
                <w:sz w:val="20"/>
                <w:szCs w:val="20"/>
                <w:lang w:val="en-GB" w:eastAsia="en-GB"/>
              </w:rPr>
            </w:pPr>
            <w:proofErr w:type="spellStart"/>
            <w:r w:rsidRPr="00B66B38">
              <w:rPr>
                <w:rFonts w:ascii="Times New Roman" w:eastAsia="Times New Roman" w:hAnsi="Times New Roman" w:cs="Times New Roman"/>
                <w:i/>
                <w:sz w:val="20"/>
                <w:szCs w:val="20"/>
                <w:lang w:val="fr-FR" w:eastAsia="en-GB"/>
              </w:rPr>
              <w:t>Individual</w:t>
            </w:r>
            <w:proofErr w:type="spellEnd"/>
          </w:p>
        </w:tc>
        <w:tc>
          <w:tcPr>
            <w:tcW w:w="963"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2,600</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0.009</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0.097</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62"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86"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0</w:t>
            </w:r>
          </w:p>
        </w:tc>
        <w:tc>
          <w:tcPr>
            <w:tcW w:w="972" w:type="dxa"/>
            <w:tcBorders>
              <w:top w:val="nil"/>
              <w:left w:val="nil"/>
              <w:bottom w:val="single" w:sz="8" w:space="0" w:color="auto"/>
              <w:right w:val="nil"/>
            </w:tcBorders>
            <w:shd w:val="clear" w:color="auto" w:fill="FFFFFF"/>
            <w:vAlign w:val="center"/>
            <w:hideMark/>
          </w:tcPr>
          <w:p w:rsidR="00B66B38" w:rsidRPr="00B66B38" w:rsidRDefault="00B66B38">
            <w:pPr>
              <w:spacing w:after="0"/>
              <w:jc w:val="right"/>
              <w:rPr>
                <w:rFonts w:ascii="Times New Roman" w:eastAsia="Times New Roman" w:hAnsi="Times New Roman" w:cs="Times New Roman"/>
                <w:sz w:val="20"/>
                <w:szCs w:val="20"/>
                <w:lang w:val="en-GB" w:eastAsia="en-GB"/>
              </w:rPr>
            </w:pPr>
            <w:r w:rsidRPr="00B66B38">
              <w:rPr>
                <w:rFonts w:ascii="Times New Roman" w:eastAsia="Times New Roman" w:hAnsi="Times New Roman" w:cs="Times New Roman"/>
                <w:sz w:val="20"/>
                <w:szCs w:val="20"/>
                <w:lang w:val="fr-FR" w:eastAsia="en-GB"/>
              </w:rPr>
              <w:t>1</w:t>
            </w:r>
          </w:p>
        </w:tc>
      </w:tr>
      <w:tr w:rsidR="00B66B38" w:rsidTr="00B66B38">
        <w:trPr>
          <w:gridAfter w:val="1"/>
          <w:trHeight w:val="1300"/>
        </w:trPr>
        <w:tc>
          <w:tcPr>
            <w:tcW w:w="8973" w:type="dxa"/>
            <w:gridSpan w:val="10"/>
            <w:vMerge w:val="restart"/>
            <w:tcBorders>
              <w:top w:val="single" w:sz="8" w:space="0" w:color="auto"/>
              <w:left w:val="nil"/>
              <w:bottom w:val="nil"/>
              <w:right w:val="nil"/>
            </w:tcBorders>
            <w:shd w:val="clear" w:color="auto" w:fill="FFFFFF"/>
            <w:vAlign w:val="bottom"/>
            <w:hideMark/>
          </w:tcPr>
          <w:p w:rsidR="00B66B38" w:rsidRDefault="00B66B38">
            <w:pPr>
              <w:spacing w:after="0"/>
              <w:jc w:val="both"/>
              <w:rPr>
                <w:rFonts w:ascii="Times New Roman" w:eastAsia="Times New Roman" w:hAnsi="Times New Roman" w:cs="Times New Roman"/>
                <w:i/>
                <w:iCs/>
                <w:sz w:val="18"/>
                <w:szCs w:val="18"/>
                <w:lang w:val="en-GB" w:eastAsia="en-GB"/>
              </w:rPr>
            </w:pPr>
            <w:r w:rsidRPr="00B66B38">
              <w:rPr>
                <w:rFonts w:ascii="Times New Roman" w:eastAsia="Times New Roman" w:hAnsi="Times New Roman" w:cs="Times New Roman"/>
                <w:i/>
                <w:iCs/>
                <w:sz w:val="18"/>
                <w:szCs w:val="18"/>
                <w:lang w:eastAsia="en-GB"/>
              </w:rPr>
              <w:t xml:space="preserve">DDIV = dummy variable equals one if firm pays dividend and zero otherwise; </w:t>
            </w:r>
            <w:proofErr w:type="spellStart"/>
            <w:r w:rsidRPr="00B66B38">
              <w:rPr>
                <w:rFonts w:ascii="Times New Roman" w:eastAsia="Times New Roman" w:hAnsi="Times New Roman" w:cs="Times New Roman"/>
                <w:i/>
                <w:iCs/>
                <w:sz w:val="18"/>
                <w:szCs w:val="18"/>
                <w:lang w:eastAsia="en-GB"/>
              </w:rPr>
              <w:t>Div</w:t>
            </w:r>
            <w:proofErr w:type="spellEnd"/>
            <w:r w:rsidRPr="00B66B38">
              <w:rPr>
                <w:rFonts w:ascii="Times New Roman" w:eastAsia="Times New Roman" w:hAnsi="Times New Roman" w:cs="Times New Roman"/>
                <w:i/>
                <w:iCs/>
                <w:sz w:val="18"/>
                <w:szCs w:val="18"/>
                <w:lang w:eastAsia="en-GB"/>
              </w:rPr>
              <w:t>/TA = Dividends related to the period to total assets; RE/TE = retained earnings to total equity RE/TE = retained earnings to total equity; Age = firms’ age; FCF/TA = free cash flow to total assets; LC-Index = life-cycle index; ROA = return on assets; M/B = market value of equity to its book value; Size =  firm market capitalization to total market capitalization;  Debt/TA = long term debt to total assets; Cash/TA = cash holding to total assets; Largest SH = the percentage of shares of the largest shareholder; Corporate, State, Insider, and individual are dummy variables equal one if the controlling shareholder (ownership &gt;50%) is corporate, state, insider, and individual respectively.</w:t>
            </w:r>
            <w:r>
              <w:rPr>
                <w:rFonts w:ascii="Times New Roman" w:eastAsia="Times New Roman" w:hAnsi="Times New Roman" w:cs="Times New Roman"/>
                <w:i/>
                <w:iCs/>
                <w:sz w:val="18"/>
                <w:szCs w:val="18"/>
                <w:lang w:eastAsia="en-GB"/>
              </w:rPr>
              <w:t xml:space="preserve"> </w:t>
            </w:r>
          </w:p>
        </w:tc>
      </w:tr>
      <w:tr w:rsidR="00B66B38" w:rsidTr="00B66B38">
        <w:trPr>
          <w:trHeight w:val="448"/>
        </w:trPr>
        <w:tc>
          <w:tcPr>
            <w:tcW w:w="0" w:type="auto"/>
            <w:gridSpan w:val="10"/>
            <w:vMerge/>
            <w:tcBorders>
              <w:top w:val="single" w:sz="8" w:space="0" w:color="auto"/>
              <w:left w:val="nil"/>
              <w:bottom w:val="nil"/>
              <w:right w:val="nil"/>
            </w:tcBorders>
            <w:vAlign w:val="center"/>
            <w:hideMark/>
          </w:tcPr>
          <w:p w:rsidR="00B66B38" w:rsidRDefault="00B66B38">
            <w:pPr>
              <w:spacing w:after="0"/>
              <w:rPr>
                <w:rFonts w:ascii="Times New Roman" w:eastAsia="Times New Roman" w:hAnsi="Times New Roman" w:cs="Times New Roman"/>
                <w:i/>
                <w:iCs/>
                <w:sz w:val="18"/>
                <w:szCs w:val="18"/>
                <w:lang w:val="en-GB" w:eastAsia="en-GB"/>
              </w:rPr>
            </w:pPr>
          </w:p>
        </w:tc>
        <w:tc>
          <w:tcPr>
            <w:tcW w:w="0" w:type="auto"/>
            <w:vAlign w:val="center"/>
            <w:hideMark/>
          </w:tcPr>
          <w:p w:rsidR="00B66B38" w:rsidRDefault="00B66B38">
            <w:pPr>
              <w:rPr>
                <w:rFonts w:ascii="Times New Roman" w:eastAsia="Times New Roman" w:hAnsi="Times New Roman" w:cs="Times New Roman"/>
                <w:i/>
                <w:iCs/>
                <w:sz w:val="18"/>
                <w:szCs w:val="18"/>
                <w:lang w:val="en-GB" w:eastAsia="en-GB"/>
              </w:rPr>
            </w:pPr>
          </w:p>
        </w:tc>
      </w:tr>
    </w:tbl>
    <w:p w:rsidR="00B66B38" w:rsidRDefault="00B66B38" w:rsidP="00B66B38">
      <w:pPr>
        <w:tabs>
          <w:tab w:val="left" w:pos="6495"/>
        </w:tabs>
        <w:rPr>
          <w:rFonts w:ascii="Times New Roman" w:eastAsia="MS Mincho" w:hAnsi="Times New Roman" w:cs="Times New Roman"/>
          <w:szCs w:val="24"/>
        </w:rPr>
      </w:pPr>
      <w:r>
        <w:rPr>
          <w:rFonts w:ascii="Times New Roman" w:eastAsia="MS Mincho" w:hAnsi="Times New Roman" w:cs="Times New Roman"/>
          <w:szCs w:val="24"/>
        </w:rPr>
        <w:fldChar w:fldCharType="end"/>
      </w: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p w:rsidR="00B66B38" w:rsidRDefault="00B66B38" w:rsidP="00B66B38">
      <w:pPr>
        <w:tabs>
          <w:tab w:val="left" w:pos="6495"/>
        </w:tabs>
        <w:rPr>
          <w:rFonts w:ascii="Times New Roman" w:eastAsia="MS Mincho" w:hAnsi="Times New Roman" w:cs="Times New Roman"/>
          <w:szCs w:val="24"/>
        </w:rPr>
      </w:pPr>
    </w:p>
    <w:tbl>
      <w:tblPr>
        <w:tblW w:w="10320" w:type="dxa"/>
        <w:jc w:val="center"/>
        <w:tblLayout w:type="fixed"/>
        <w:tblCellMar>
          <w:left w:w="70" w:type="dxa"/>
          <w:right w:w="70" w:type="dxa"/>
        </w:tblCellMar>
        <w:tblLook w:val="04A0" w:firstRow="1" w:lastRow="0" w:firstColumn="1" w:lastColumn="0" w:noHBand="0" w:noVBand="1"/>
      </w:tblPr>
      <w:tblGrid>
        <w:gridCol w:w="1032"/>
        <w:gridCol w:w="1032"/>
        <w:gridCol w:w="1032"/>
        <w:gridCol w:w="1032"/>
        <w:gridCol w:w="1032"/>
        <w:gridCol w:w="1032"/>
        <w:gridCol w:w="1032"/>
        <w:gridCol w:w="1032"/>
        <w:gridCol w:w="1032"/>
        <w:gridCol w:w="1032"/>
      </w:tblGrid>
      <w:tr w:rsidR="00B66B38" w:rsidTr="00B66B38">
        <w:trPr>
          <w:trHeight w:val="290"/>
          <w:jc w:val="center"/>
        </w:trPr>
        <w:tc>
          <w:tcPr>
            <w:tcW w:w="4128" w:type="dxa"/>
            <w:gridSpan w:val="4"/>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lastRenderedPageBreak/>
              <w:t>Tabel</w:t>
            </w:r>
            <w:proofErr w:type="spellEnd"/>
            <w:r>
              <w:rPr>
                <w:rFonts w:ascii="Times New Roman" w:hAnsi="Times New Roman" w:cs="Times New Roman"/>
                <w:sz w:val="20"/>
                <w:lang w:val="fr-FR"/>
              </w:rPr>
              <w:t xml:space="preserve"> 2. </w:t>
            </w:r>
            <w:proofErr w:type="spellStart"/>
            <w:r>
              <w:rPr>
                <w:rFonts w:ascii="Times New Roman" w:hAnsi="Times New Roman" w:cs="Times New Roman"/>
                <w:sz w:val="20"/>
                <w:lang w:val="fr-FR"/>
              </w:rPr>
              <w:t>Dividend</w:t>
            </w:r>
            <w:proofErr w:type="spellEnd"/>
            <w:r>
              <w:rPr>
                <w:rFonts w:ascii="Times New Roman" w:hAnsi="Times New Roman" w:cs="Times New Roman"/>
                <w:sz w:val="20"/>
                <w:lang w:val="fr-FR"/>
              </w:rPr>
              <w:t xml:space="preserve"> concentration (HHI)</w:t>
            </w:r>
          </w:p>
        </w:tc>
        <w:tc>
          <w:tcPr>
            <w:tcW w:w="103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jc w:val="center"/>
        </w:trPr>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9288" w:type="dxa"/>
            <w:gridSpan w:val="9"/>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proofErr w:type="spellStart"/>
            <w:r>
              <w:rPr>
                <w:rFonts w:ascii="Times New Roman" w:hAnsi="Times New Roman" w:cs="Times New Roman"/>
                <w:sz w:val="20"/>
                <w:lang w:val="fr-FR"/>
              </w:rPr>
              <w:t>Year</w:t>
            </w:r>
            <w:proofErr w:type="spellEnd"/>
          </w:p>
        </w:tc>
      </w:tr>
      <w:tr w:rsidR="00B66B38" w:rsidTr="00B66B38">
        <w:trPr>
          <w:trHeight w:val="290"/>
          <w:jc w:val="center"/>
        </w:trPr>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proofErr w:type="spellStart"/>
            <w:r>
              <w:rPr>
                <w:rFonts w:ascii="Times New Roman" w:hAnsi="Times New Roman" w:cs="Times New Roman"/>
                <w:sz w:val="20"/>
                <w:lang w:val="fr-FR"/>
              </w:rPr>
              <w:t>Decile</w:t>
            </w:r>
            <w:proofErr w:type="spellEnd"/>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1995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1996</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1997</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1998</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1999</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2000</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2001</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2002</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2003</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4.28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3.43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2.74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2.59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5.54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1.18</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11.57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12.75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10.84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0.56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2.36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8.00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5.54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5.23</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0.85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1.46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0.85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0.06</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2.54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2.28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1.80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2.57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0.89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0.35</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2.26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2.55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2.36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2.46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3.88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1.65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2.18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0.84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0.50</w:t>
            </w:r>
          </w:p>
        </w:tc>
      </w:tr>
      <w:tr w:rsidR="00B66B38" w:rsidTr="00B66B38">
        <w:trPr>
          <w:trHeight w:val="319"/>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2.85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3.94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5.05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1.64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0.96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1.23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4.37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0.98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1.59</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5.38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5.21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3.98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5.92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5.80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2.73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1.78</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8.40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8.94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1.62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5.22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14.52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3.15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7.55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4.72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1.29</w:t>
            </w:r>
          </w:p>
        </w:tc>
      </w:tr>
      <w:tr w:rsidR="00B66B38" w:rsidTr="00B66B38">
        <w:trPr>
          <w:trHeight w:val="319"/>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13.26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12.47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12.37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13.74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3.88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4.44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6.93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5.47</w:t>
            </w:r>
          </w:p>
        </w:tc>
      </w:tr>
      <w:tr w:rsidR="00B66B38" w:rsidTr="00B66B38">
        <w:trPr>
          <w:trHeight w:val="290"/>
          <w:jc w:val="center"/>
        </w:trPr>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10</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48.33</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47.36</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58.39</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65.10</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67.19</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80.52</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68.83</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75.19</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82.55</w:t>
            </w:r>
          </w:p>
        </w:tc>
      </w:tr>
      <w:tr w:rsidR="00B66B38" w:rsidTr="00B66B38">
        <w:trPr>
          <w:trHeight w:val="305"/>
          <w:jc w:val="center"/>
        </w:trPr>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HHI</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0.28</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0.27</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0.37</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0.48</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0.49</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0.58</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0.69</w:t>
            </w:r>
          </w:p>
        </w:tc>
      </w:tr>
      <w:tr w:rsidR="00B66B38" w:rsidTr="00B66B38">
        <w:trPr>
          <w:trHeight w:val="305"/>
          <w:jc w:val="center"/>
        </w:trPr>
        <w:tc>
          <w:tcPr>
            <w:tcW w:w="1032" w:type="dxa"/>
            <w:shd w:val="solid" w:color="FFFFFF" w:fill="auto"/>
          </w:tcPr>
          <w:p w:rsidR="00B66B38" w:rsidRDefault="00B66B38">
            <w:pPr>
              <w:autoSpaceDE w:val="0"/>
              <w:autoSpaceDN w:val="0"/>
              <w:adjustRightInd w:val="0"/>
              <w:spacing w:after="0"/>
              <w:jc w:val="center"/>
              <w:rPr>
                <w:rFonts w:ascii="Times New Roman" w:hAnsi="Times New Roman" w:cs="Times New Roman"/>
                <w:sz w:val="20"/>
                <w:lang w:val="fr-FR"/>
              </w:rPr>
            </w:pPr>
          </w:p>
        </w:tc>
        <w:tc>
          <w:tcPr>
            <w:tcW w:w="9288" w:type="dxa"/>
            <w:gridSpan w:val="9"/>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proofErr w:type="spellStart"/>
            <w:r>
              <w:rPr>
                <w:rFonts w:ascii="Times New Roman" w:hAnsi="Times New Roman" w:cs="Times New Roman"/>
                <w:sz w:val="20"/>
                <w:lang w:val="fr-FR"/>
              </w:rPr>
              <w:t>Year</w:t>
            </w:r>
            <w:proofErr w:type="spellEnd"/>
          </w:p>
        </w:tc>
      </w:tr>
      <w:tr w:rsidR="00B66B38" w:rsidTr="00B66B38">
        <w:trPr>
          <w:trHeight w:val="290"/>
          <w:jc w:val="center"/>
        </w:trPr>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proofErr w:type="spellStart"/>
            <w:r>
              <w:rPr>
                <w:rFonts w:ascii="Times New Roman" w:hAnsi="Times New Roman" w:cs="Times New Roman"/>
                <w:sz w:val="20"/>
                <w:lang w:val="fr-FR"/>
              </w:rPr>
              <w:t>Decile</w:t>
            </w:r>
            <w:proofErr w:type="spellEnd"/>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2004</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2006</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2007</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2008</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2009</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2010</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2011</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proofErr w:type="spellStart"/>
            <w:r>
              <w:rPr>
                <w:rFonts w:ascii="Times New Roman" w:hAnsi="Times New Roman" w:cs="Times New Roman"/>
                <w:sz w:val="20"/>
                <w:lang w:val="fr-FR"/>
              </w:rPr>
              <w:t>Mean</w:t>
            </w:r>
            <w:proofErr w:type="spellEnd"/>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1.31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1.52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0.85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1.59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1.49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1.32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0.93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2.09</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4.87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10.61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8.28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42.19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10.95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15.48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17.15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11.57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10.49</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0.47</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0.83</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0.93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0.33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1.27</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2.13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0.55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0.75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0.76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1.76</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2.23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0.92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1.57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1.61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2.48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1.41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1.32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2.64</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1.85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2.76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2.90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2.32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3.26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4.73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7.96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4.84</w:t>
            </w:r>
          </w:p>
        </w:tc>
      </w:tr>
      <w:tr w:rsidR="00B66B38" w:rsidTr="00B66B38">
        <w:trPr>
          <w:trHeight w:val="290"/>
          <w:jc w:val="center"/>
        </w:trPr>
        <w:tc>
          <w:tcPr>
            <w:tcW w:w="1032"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3.71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4.40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2.94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4.69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5.50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9.39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8.52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6.80</w:t>
            </w:r>
          </w:p>
        </w:tc>
      </w:tr>
      <w:tr w:rsidR="00B66B38" w:rsidTr="00B66B38">
        <w:trPr>
          <w:trHeight w:val="290"/>
          <w:jc w:val="center"/>
        </w:trPr>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10</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84.27</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76.75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81.71</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51.85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76.84</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70.15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64.60</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68.27</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68.70</w:t>
            </w:r>
          </w:p>
        </w:tc>
      </w:tr>
      <w:tr w:rsidR="00B66B38" w:rsidTr="00B66B38">
        <w:trPr>
          <w:trHeight w:val="290"/>
          <w:jc w:val="center"/>
        </w:trPr>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HHI</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0.72</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0.60</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0.68</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0.61</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0.52</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0.46</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0.49</w:t>
            </w:r>
          </w:p>
        </w:tc>
        <w:tc>
          <w:tcPr>
            <w:tcW w:w="103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jc w:val="center"/>
        </w:trPr>
        <w:tc>
          <w:tcPr>
            <w:tcW w:w="10320" w:type="dxa"/>
            <w:gridSpan w:val="10"/>
            <w:tcBorders>
              <w:top w:val="single" w:sz="6" w:space="0" w:color="auto"/>
              <w:left w:val="nil"/>
              <w:bottom w:val="nil"/>
              <w:right w:val="nil"/>
            </w:tcBorders>
            <w:shd w:val="solid" w:color="FFFFFF" w:fill="auto"/>
            <w:hideMark/>
          </w:tcPr>
          <w:p w:rsidR="00B66B38" w:rsidRDefault="00B66B38">
            <w:pPr>
              <w:autoSpaceDE w:val="0"/>
              <w:autoSpaceDN w:val="0"/>
              <w:adjustRightInd w:val="0"/>
              <w:spacing w:after="0"/>
              <w:jc w:val="both"/>
              <w:rPr>
                <w:rFonts w:ascii="Times New Roman" w:hAnsi="Times New Roman" w:cs="Times New Roman"/>
                <w:i/>
                <w:iCs/>
                <w:sz w:val="18"/>
                <w:szCs w:val="20"/>
              </w:rPr>
            </w:pPr>
            <w:r>
              <w:rPr>
                <w:rFonts w:ascii="Times New Roman" w:hAnsi="Times New Roman" w:cs="Times New Roman"/>
                <w:i/>
                <w:iCs/>
                <w:sz w:val="18"/>
                <w:szCs w:val="20"/>
              </w:rPr>
              <w:t>We sort cash dividend payment by size, which is the percentile of the firms’ market capitalization to the overall market. Then we divided it into decile and calculated the percentage of the cash dividend amount to the total cash dividend payment of the year on each decile to obtain the HHI.</w:t>
            </w:r>
          </w:p>
        </w:tc>
      </w:tr>
    </w:tbl>
    <w:p w:rsidR="00B66B38" w:rsidRDefault="00B66B38" w:rsidP="00B66B38">
      <w:pPr>
        <w:spacing w:after="0"/>
        <w:rPr>
          <w:rFonts w:ascii="Times New Roman" w:eastAsia="MS Mincho" w:hAnsi="Times New Roman" w:cs="Times New Roman"/>
          <w:szCs w:val="24"/>
        </w:rPr>
        <w:sectPr w:rsidR="00B66B38">
          <w:pgSz w:w="11906" w:h="16838"/>
          <w:pgMar w:top="1440" w:right="1440" w:bottom="1440" w:left="1440" w:header="708" w:footer="708" w:gutter="0"/>
          <w:cols w:space="720"/>
        </w:sectPr>
      </w:pPr>
    </w:p>
    <w:tbl>
      <w:tblPr>
        <w:tblW w:w="0" w:type="auto"/>
        <w:tblInd w:w="-30" w:type="dxa"/>
        <w:tblLayout w:type="fixed"/>
        <w:tblCellMar>
          <w:left w:w="70" w:type="dxa"/>
          <w:right w:w="70" w:type="dxa"/>
        </w:tblCellMar>
        <w:tblLook w:val="04A0" w:firstRow="1" w:lastRow="0" w:firstColumn="1" w:lastColumn="0" w:noHBand="0" w:noVBand="1"/>
      </w:tblPr>
      <w:tblGrid>
        <w:gridCol w:w="1999"/>
        <w:gridCol w:w="1032"/>
        <w:gridCol w:w="1032"/>
        <w:gridCol w:w="1032"/>
        <w:gridCol w:w="1032"/>
        <w:gridCol w:w="1032"/>
        <w:gridCol w:w="1032"/>
        <w:gridCol w:w="1032"/>
        <w:gridCol w:w="1032"/>
        <w:gridCol w:w="1032"/>
        <w:gridCol w:w="742"/>
      </w:tblGrid>
      <w:tr w:rsidR="00B66B38" w:rsidTr="00B66B38">
        <w:trPr>
          <w:trHeight w:val="290"/>
        </w:trPr>
        <w:tc>
          <w:tcPr>
            <w:tcW w:w="12029" w:type="dxa"/>
            <w:gridSpan w:val="11"/>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rPr>
            </w:pPr>
            <w:r>
              <w:rPr>
                <w:rFonts w:ascii="Times New Roman" w:eastAsia="MS Mincho" w:hAnsi="Times New Roman" w:cs="Times New Roman"/>
                <w:szCs w:val="24"/>
              </w:rPr>
              <w:lastRenderedPageBreak/>
              <w:tab/>
            </w:r>
            <w:r>
              <w:rPr>
                <w:rFonts w:ascii="Times New Roman" w:hAnsi="Times New Roman" w:cs="Times New Roman"/>
                <w:sz w:val="20"/>
              </w:rPr>
              <w:t>Table 3. Life-Cycle proxies and the proportion of firms paying a dividend</w:t>
            </w:r>
          </w:p>
        </w:tc>
      </w:tr>
      <w:tr w:rsidR="00B66B38" w:rsidTr="00B66B38">
        <w:trPr>
          <w:trHeight w:val="290"/>
        </w:trPr>
        <w:tc>
          <w:tcPr>
            <w:tcW w:w="1999" w:type="dxa"/>
            <w:tcBorders>
              <w:top w:val="single" w:sz="6" w:space="0" w:color="auto"/>
              <w:left w:val="nil"/>
              <w:bottom w:val="nil"/>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Panel A: </w:t>
            </w: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103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c>
          <w:tcPr>
            <w:tcW w:w="74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199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Life-Cycle Index</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1-1.25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1.25-1.75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1.75-2</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2-2.25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2.25-2.5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2.5-3</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3-3.25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3.25-3.5</w:t>
            </w:r>
          </w:p>
        </w:tc>
        <w:tc>
          <w:tcPr>
            <w:tcW w:w="1032"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3.5-4</w:t>
            </w:r>
          </w:p>
        </w:tc>
        <w:tc>
          <w:tcPr>
            <w:tcW w:w="742"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Percentage of </w:t>
            </w:r>
            <w:proofErr w:type="spellStart"/>
            <w:r>
              <w:rPr>
                <w:rFonts w:ascii="Times New Roman" w:hAnsi="Times New Roman" w:cs="Times New Roman"/>
                <w:sz w:val="20"/>
                <w:lang w:val="fr-FR"/>
              </w:rPr>
              <w:t>payers</w:t>
            </w:r>
            <w:proofErr w:type="spellEnd"/>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15.48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31.8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48.38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39.67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41.56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50.82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53.26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64.03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77.89</w:t>
            </w:r>
          </w:p>
        </w:tc>
        <w:tc>
          <w:tcPr>
            <w:tcW w:w="74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RE/TE</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-0.599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0.009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0.117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0.232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0.298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0.45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0.661</w:t>
            </w:r>
          </w:p>
        </w:tc>
        <w:tc>
          <w:tcPr>
            <w:tcW w:w="74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FCF/TA</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-0.074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-0.054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-0.032</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0.016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0.017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0.056</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0.071</w:t>
            </w:r>
          </w:p>
        </w:tc>
        <w:tc>
          <w:tcPr>
            <w:tcW w:w="74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Age</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7</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9.5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17</w:t>
            </w:r>
          </w:p>
        </w:tc>
        <w:tc>
          <w:tcPr>
            <w:tcW w:w="74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proofErr w:type="spellStart"/>
            <w:r>
              <w:rPr>
                <w:rFonts w:ascii="Times New Roman" w:hAnsi="Times New Roman" w:cs="Times New Roman"/>
                <w:i/>
                <w:sz w:val="20"/>
                <w:lang w:val="fr-FR"/>
              </w:rPr>
              <w:t>Largest</w:t>
            </w:r>
            <w:proofErr w:type="spellEnd"/>
            <w:r>
              <w:rPr>
                <w:rFonts w:ascii="Times New Roman" w:hAnsi="Times New Roman" w:cs="Times New Roman"/>
                <w:i/>
                <w:sz w:val="20"/>
                <w:lang w:val="fr-FR"/>
              </w:rPr>
              <w:t xml:space="preserve"> SH</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50</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51</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46.44</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38.5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43.15</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46.58</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47.49</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49.83</w:t>
            </w:r>
          </w:p>
        </w:tc>
        <w:tc>
          <w:tcPr>
            <w:tcW w:w="1032" w:type="dxa"/>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90</w:t>
            </w:r>
          </w:p>
        </w:tc>
        <w:tc>
          <w:tcPr>
            <w:tcW w:w="742"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1999"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No. of </w:t>
            </w:r>
            <w:proofErr w:type="spellStart"/>
            <w:r>
              <w:rPr>
                <w:rFonts w:ascii="Times New Roman" w:hAnsi="Times New Roman" w:cs="Times New Roman"/>
                <w:sz w:val="20"/>
                <w:lang w:val="fr-FR"/>
              </w:rPr>
              <w:t>firms</w:t>
            </w:r>
            <w:proofErr w:type="spellEnd"/>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101</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412</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401</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368</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474</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549</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552</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278</w:t>
            </w:r>
          </w:p>
        </w:tc>
        <w:tc>
          <w:tcPr>
            <w:tcW w:w="1032" w:type="dxa"/>
            <w:tcBorders>
              <w:top w:val="nil"/>
              <w:left w:val="nil"/>
              <w:bottom w:val="single" w:sz="4" w:space="0" w:color="auto"/>
              <w:right w:val="nil"/>
            </w:tcBorders>
            <w:shd w:val="solid" w:color="FFFFFF" w:fill="auto"/>
            <w:hideMark/>
          </w:tcPr>
          <w:p w:rsidR="00B66B38" w:rsidRDefault="00B66B38">
            <w:pPr>
              <w:autoSpaceDE w:val="0"/>
              <w:autoSpaceDN w:val="0"/>
              <w:adjustRightInd w:val="0"/>
              <w:spacing w:after="0"/>
              <w:jc w:val="right"/>
              <w:rPr>
                <w:rFonts w:ascii="Times New Roman" w:hAnsi="Times New Roman" w:cs="Times New Roman"/>
                <w:sz w:val="20"/>
                <w:lang w:val="fr-FR"/>
              </w:rPr>
            </w:pPr>
            <w:r>
              <w:rPr>
                <w:rFonts w:ascii="Times New Roman" w:hAnsi="Times New Roman" w:cs="Times New Roman"/>
                <w:sz w:val="20"/>
                <w:lang w:val="fr-FR"/>
              </w:rPr>
              <w:t>554</w:t>
            </w:r>
          </w:p>
        </w:tc>
        <w:tc>
          <w:tcPr>
            <w:tcW w:w="742" w:type="dxa"/>
            <w:tcBorders>
              <w:top w:val="nil"/>
              <w:left w:val="nil"/>
              <w:bottom w:val="single" w:sz="4"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319"/>
        </w:trPr>
        <w:tc>
          <w:tcPr>
            <w:tcW w:w="1999"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Panel B: </w:t>
            </w:r>
            <w:r>
              <w:rPr>
                <w:rFonts w:ascii="Times New Roman" w:hAnsi="Times New Roman" w:cs="Times New Roman"/>
                <w:i/>
                <w:sz w:val="20"/>
                <w:lang w:val="fr-FR"/>
              </w:rPr>
              <w:t>RE/TE</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&lt;p10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p10-p20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p20-p30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p30-p40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p40-p50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p50p-60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p60-p70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p70-p80</w:t>
            </w:r>
          </w:p>
        </w:tc>
        <w:tc>
          <w:tcPr>
            <w:tcW w:w="103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p80-p90</w:t>
            </w:r>
          </w:p>
        </w:tc>
        <w:tc>
          <w:tcPr>
            <w:tcW w:w="742" w:type="dxa"/>
            <w:tcBorders>
              <w:top w:val="single" w:sz="4"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szCs w:val="18"/>
                <w:lang w:val="fr-FR"/>
              </w:rPr>
            </w:pPr>
            <w:r>
              <w:rPr>
                <w:rFonts w:ascii="Times New Roman" w:hAnsi="Times New Roman" w:cs="Times New Roman"/>
                <w:sz w:val="20"/>
                <w:szCs w:val="18"/>
                <w:lang w:val="fr-FR"/>
              </w:rPr>
              <w:t>&gt;p90</w:t>
            </w: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Percentage of </w:t>
            </w:r>
            <w:proofErr w:type="spellStart"/>
            <w:r>
              <w:rPr>
                <w:rFonts w:ascii="Times New Roman" w:hAnsi="Times New Roman" w:cs="Times New Roman"/>
                <w:sz w:val="20"/>
                <w:lang w:val="fr-FR"/>
              </w:rPr>
              <w:t>payers</w:t>
            </w:r>
            <w:proofErr w:type="spellEnd"/>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11.94</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16.43</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23.48</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25.91</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50.83</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66.49</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72.78</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75.62</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78.95</w:t>
            </w:r>
          </w:p>
        </w:tc>
        <w:tc>
          <w:tcPr>
            <w:tcW w:w="74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77.2</w:t>
            </w:r>
          </w:p>
        </w:tc>
      </w:tr>
      <w:tr w:rsidR="00B66B38" w:rsidTr="00B66B38">
        <w:trPr>
          <w:trHeight w:val="290"/>
        </w:trPr>
        <w:tc>
          <w:tcPr>
            <w:tcW w:w="199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Percentage of </w:t>
            </w:r>
            <w:proofErr w:type="spellStart"/>
            <w:r>
              <w:rPr>
                <w:rFonts w:ascii="Times New Roman" w:hAnsi="Times New Roman" w:cs="Times New Roman"/>
                <w:sz w:val="20"/>
                <w:lang w:val="fr-FR"/>
              </w:rPr>
              <w:t>samples</w:t>
            </w:r>
            <w:proofErr w:type="spellEnd"/>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10.51</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10.54</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10.57</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10.48</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10.57</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10.51</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10.51</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7.97</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8.32</w:t>
            </w:r>
          </w:p>
        </w:tc>
        <w:tc>
          <w:tcPr>
            <w:tcW w:w="74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9.99</w:t>
            </w:r>
          </w:p>
        </w:tc>
      </w:tr>
      <w:tr w:rsidR="00B66B38" w:rsidTr="00B66B38">
        <w:trPr>
          <w:trHeight w:val="319"/>
        </w:trPr>
        <w:tc>
          <w:tcPr>
            <w:tcW w:w="1999" w:type="dxa"/>
            <w:tcBorders>
              <w:top w:val="single" w:sz="6"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Panel C: </w:t>
            </w:r>
            <w:r>
              <w:rPr>
                <w:rFonts w:ascii="Times New Roman" w:hAnsi="Times New Roman" w:cs="Times New Roman"/>
                <w:i/>
                <w:sz w:val="20"/>
                <w:lang w:val="fr-FR"/>
              </w:rPr>
              <w:t>FCF/TA</w:t>
            </w: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742" w:type="dxa"/>
            <w:tcBorders>
              <w:top w:val="single" w:sz="6" w:space="0" w:color="auto"/>
              <w:left w:val="nil"/>
              <w:bottom w:val="single" w:sz="6" w:space="0" w:color="auto"/>
              <w:right w:val="nil"/>
            </w:tcBorders>
            <w:shd w:val="solid" w:color="FFFFFF" w:fill="auto"/>
          </w:tcPr>
          <w:p w:rsidR="00B66B38" w:rsidRDefault="00B66B38">
            <w:pPr>
              <w:autoSpaceDE w:val="0"/>
              <w:autoSpaceDN w:val="0"/>
              <w:adjustRightInd w:val="0"/>
              <w:spacing w:after="0"/>
              <w:jc w:val="center"/>
              <w:rPr>
                <w:rFonts w:ascii="Times New Roman" w:hAnsi="Times New Roman" w:cs="Times New Roman"/>
                <w:sz w:val="16"/>
                <w:szCs w:val="18"/>
                <w:lang w:val="fr-FR"/>
              </w:rPr>
            </w:pP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Percentage of </w:t>
            </w:r>
            <w:proofErr w:type="spellStart"/>
            <w:r>
              <w:rPr>
                <w:rFonts w:ascii="Times New Roman" w:hAnsi="Times New Roman" w:cs="Times New Roman"/>
                <w:sz w:val="20"/>
                <w:lang w:val="fr-FR"/>
              </w:rPr>
              <w:t>payers</w:t>
            </w:r>
            <w:proofErr w:type="spellEnd"/>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51.78</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47.95</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41.64</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34.79</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55.62</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49.86</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49</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50.14</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61.92</w:t>
            </w:r>
          </w:p>
        </w:tc>
        <w:tc>
          <w:tcPr>
            <w:tcW w:w="74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62.38</w:t>
            </w:r>
          </w:p>
        </w:tc>
      </w:tr>
      <w:tr w:rsidR="00B66B38" w:rsidTr="00B66B38">
        <w:trPr>
          <w:trHeight w:val="305"/>
        </w:trPr>
        <w:tc>
          <w:tcPr>
            <w:tcW w:w="199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Percentage of </w:t>
            </w:r>
            <w:proofErr w:type="spellStart"/>
            <w:r>
              <w:rPr>
                <w:rFonts w:ascii="Times New Roman" w:hAnsi="Times New Roman" w:cs="Times New Roman"/>
                <w:sz w:val="20"/>
                <w:lang w:val="fr-FR"/>
              </w:rPr>
              <w:t>samples</w:t>
            </w:r>
            <w:proofErr w:type="spellEnd"/>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9.89</w:t>
            </w:r>
          </w:p>
        </w:tc>
        <w:tc>
          <w:tcPr>
            <w:tcW w:w="74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10.95</w:t>
            </w:r>
          </w:p>
        </w:tc>
      </w:tr>
      <w:tr w:rsidR="00B66B38" w:rsidTr="00B66B38">
        <w:trPr>
          <w:trHeight w:val="305"/>
        </w:trPr>
        <w:tc>
          <w:tcPr>
            <w:tcW w:w="1999" w:type="dxa"/>
            <w:tcBorders>
              <w:top w:val="single" w:sz="6" w:space="0" w:color="auto"/>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Panel D: </w:t>
            </w:r>
            <w:r>
              <w:rPr>
                <w:rFonts w:ascii="Times New Roman" w:hAnsi="Times New Roman" w:cs="Times New Roman"/>
                <w:i/>
                <w:sz w:val="20"/>
                <w:lang w:val="fr-FR"/>
              </w:rPr>
              <w:t>Age</w:t>
            </w: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103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c>
          <w:tcPr>
            <w:tcW w:w="742" w:type="dxa"/>
            <w:tcBorders>
              <w:top w:val="single" w:sz="6" w:space="0" w:color="auto"/>
              <w:left w:val="nil"/>
              <w:bottom w:val="single" w:sz="6" w:space="0" w:color="auto"/>
              <w:right w:val="nil"/>
            </w:tcBorders>
            <w:shd w:val="solid" w:color="FFFFFF" w:fill="auto"/>
            <w:vAlign w:val="center"/>
          </w:tcPr>
          <w:p w:rsidR="00B66B38" w:rsidRDefault="00B66B38">
            <w:pPr>
              <w:autoSpaceDE w:val="0"/>
              <w:autoSpaceDN w:val="0"/>
              <w:adjustRightInd w:val="0"/>
              <w:spacing w:after="0"/>
              <w:jc w:val="center"/>
              <w:rPr>
                <w:rFonts w:ascii="Times New Roman" w:hAnsi="Times New Roman" w:cs="Times New Roman"/>
                <w:sz w:val="16"/>
                <w:szCs w:val="18"/>
                <w:lang w:val="fr-FR"/>
              </w:rPr>
            </w:pPr>
          </w:p>
        </w:tc>
      </w:tr>
      <w:tr w:rsidR="00B66B38" w:rsidTr="00B66B38">
        <w:trPr>
          <w:trHeight w:val="290"/>
        </w:trPr>
        <w:tc>
          <w:tcPr>
            <w:tcW w:w="199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Percentage of </w:t>
            </w:r>
            <w:proofErr w:type="spellStart"/>
            <w:r>
              <w:rPr>
                <w:rFonts w:ascii="Times New Roman" w:hAnsi="Times New Roman" w:cs="Times New Roman"/>
                <w:sz w:val="20"/>
                <w:lang w:val="fr-FR"/>
              </w:rPr>
              <w:t>payers</w:t>
            </w:r>
            <w:proofErr w:type="spellEnd"/>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38.22</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46.2</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46</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47.68</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48.49</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51.15</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50.93</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49.67</w:t>
            </w:r>
          </w:p>
        </w:tc>
        <w:tc>
          <w:tcPr>
            <w:tcW w:w="103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51.35</w:t>
            </w:r>
          </w:p>
        </w:tc>
        <w:tc>
          <w:tcPr>
            <w:tcW w:w="742" w:type="dxa"/>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73.6</w:t>
            </w:r>
          </w:p>
        </w:tc>
      </w:tr>
      <w:tr w:rsidR="00B66B38" w:rsidTr="00B66B38">
        <w:trPr>
          <w:trHeight w:val="290"/>
        </w:trPr>
        <w:tc>
          <w:tcPr>
            <w:tcW w:w="199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Percentage of </w:t>
            </w:r>
            <w:proofErr w:type="spellStart"/>
            <w:r>
              <w:rPr>
                <w:rFonts w:ascii="Times New Roman" w:hAnsi="Times New Roman" w:cs="Times New Roman"/>
                <w:sz w:val="20"/>
                <w:lang w:val="fr-FR"/>
              </w:rPr>
              <w:t>samples</w:t>
            </w:r>
            <w:proofErr w:type="spellEnd"/>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9.37</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9.82</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10.38</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10.95</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10.89</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11.67</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11.25</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13.52</w:t>
            </w:r>
          </w:p>
        </w:tc>
        <w:tc>
          <w:tcPr>
            <w:tcW w:w="103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11.04</w:t>
            </w:r>
          </w:p>
        </w:tc>
        <w:tc>
          <w:tcPr>
            <w:tcW w:w="742" w:type="dxa"/>
            <w:tcBorders>
              <w:top w:val="nil"/>
              <w:left w:val="nil"/>
              <w:bottom w:val="single" w:sz="6" w:space="0" w:color="auto"/>
              <w:right w:val="nil"/>
            </w:tcBorders>
            <w:shd w:val="solid" w:color="FFFFFF" w:fill="auto"/>
            <w:vAlign w:val="center"/>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rPr>
              <w:t>1.10</w:t>
            </w:r>
          </w:p>
        </w:tc>
      </w:tr>
      <w:tr w:rsidR="00B66B38" w:rsidTr="00B66B38">
        <w:trPr>
          <w:trHeight w:val="290"/>
        </w:trPr>
        <w:tc>
          <w:tcPr>
            <w:tcW w:w="12029" w:type="dxa"/>
            <w:gridSpan w:val="11"/>
            <w:shd w:val="solid" w:color="FFFFFF" w:fill="auto"/>
            <w:hideMark/>
          </w:tcPr>
          <w:p w:rsidR="00B66B38" w:rsidRDefault="00B66B38">
            <w:pPr>
              <w:autoSpaceDE w:val="0"/>
              <w:autoSpaceDN w:val="0"/>
              <w:adjustRightInd w:val="0"/>
              <w:spacing w:after="0"/>
              <w:jc w:val="both"/>
              <w:rPr>
                <w:rFonts w:ascii="Times New Roman" w:hAnsi="Times New Roman" w:cs="Times New Roman"/>
                <w:i/>
                <w:iCs/>
                <w:sz w:val="18"/>
                <w:szCs w:val="20"/>
              </w:rPr>
            </w:pPr>
            <w:r>
              <w:rPr>
                <w:rFonts w:ascii="Times New Roman" w:hAnsi="Times New Roman" w:cs="Times New Roman"/>
                <w:i/>
                <w:iCs/>
                <w:sz w:val="18"/>
                <w:szCs w:val="20"/>
              </w:rPr>
              <w:t>In Panel A We split the 15 years of the sample into quartiles for each of the variables, earned capital to total equity (RE/TE), free cash flow (FCF/TA), and Age. Then we assigned a value equal to 1 for the first quartile, 2 for the second, and so on for each of the variables, and we sum these values of the three variables resulting in an index that has values ranged from 1 to 4. Then we sort RE/TE, FCF/TA, Age, and the largest shareholder by the 9 range life-cycle index and report the median on each range.</w:t>
            </w:r>
          </w:p>
        </w:tc>
      </w:tr>
      <w:tr w:rsidR="00B66B38" w:rsidTr="00B66B38">
        <w:trPr>
          <w:trHeight w:val="290"/>
        </w:trPr>
        <w:tc>
          <w:tcPr>
            <w:tcW w:w="12029" w:type="dxa"/>
            <w:gridSpan w:val="11"/>
            <w:shd w:val="solid" w:color="FFFFFF" w:fill="auto"/>
            <w:hideMark/>
          </w:tcPr>
          <w:p w:rsidR="00B66B38" w:rsidRDefault="00B66B38">
            <w:pPr>
              <w:autoSpaceDE w:val="0"/>
              <w:autoSpaceDN w:val="0"/>
              <w:adjustRightInd w:val="0"/>
              <w:spacing w:after="0"/>
              <w:rPr>
                <w:rFonts w:ascii="Times New Roman" w:hAnsi="Times New Roman" w:cs="Times New Roman"/>
                <w:i/>
                <w:iCs/>
                <w:sz w:val="18"/>
                <w:szCs w:val="20"/>
              </w:rPr>
            </w:pPr>
            <w:r>
              <w:rPr>
                <w:rFonts w:ascii="Times New Roman" w:hAnsi="Times New Roman" w:cs="Times New Roman"/>
                <w:i/>
                <w:iCs/>
                <w:sz w:val="18"/>
                <w:szCs w:val="20"/>
              </w:rPr>
              <w:t>In Panel B, C, and D we sorted the percentage of dividend payers by the decile of RE/TE, FCF/TA, and Age respectively.</w:t>
            </w:r>
          </w:p>
        </w:tc>
      </w:tr>
    </w:tbl>
    <w:p w:rsidR="00B66B38" w:rsidRDefault="00B66B38" w:rsidP="00B66B38">
      <w:pPr>
        <w:tabs>
          <w:tab w:val="left" w:pos="6495"/>
        </w:tabs>
        <w:rPr>
          <w:rFonts w:ascii="Times New Roman" w:eastAsia="MS Mincho" w:hAnsi="Times New Roman" w:cs="Times New Roman"/>
          <w:szCs w:val="24"/>
        </w:rPr>
      </w:pPr>
    </w:p>
    <w:p w:rsidR="00B66B38" w:rsidRDefault="00B66B38" w:rsidP="00B66B38">
      <w:pPr>
        <w:spacing w:after="0"/>
        <w:rPr>
          <w:rFonts w:ascii="Times New Roman" w:eastAsia="MS Mincho" w:hAnsi="Times New Roman" w:cs="Times New Roman"/>
          <w:szCs w:val="24"/>
        </w:rPr>
        <w:sectPr w:rsidR="00B66B38">
          <w:pgSz w:w="16838" w:h="11906" w:orient="landscape"/>
          <w:pgMar w:top="1440" w:right="1440" w:bottom="1440" w:left="1440" w:header="708" w:footer="708" w:gutter="0"/>
          <w:cols w:space="720"/>
        </w:sectPr>
      </w:pPr>
    </w:p>
    <w:tbl>
      <w:tblPr>
        <w:tblW w:w="0" w:type="auto"/>
        <w:tblInd w:w="-30" w:type="dxa"/>
        <w:tblLayout w:type="fixed"/>
        <w:tblCellMar>
          <w:left w:w="70" w:type="dxa"/>
          <w:right w:w="70" w:type="dxa"/>
        </w:tblCellMar>
        <w:tblLook w:val="04A0" w:firstRow="1" w:lastRow="0" w:firstColumn="1" w:lastColumn="0" w:noHBand="0" w:noVBand="1"/>
      </w:tblPr>
      <w:tblGrid>
        <w:gridCol w:w="1723"/>
        <w:gridCol w:w="1450"/>
        <w:gridCol w:w="1449"/>
        <w:gridCol w:w="1450"/>
        <w:gridCol w:w="1450"/>
        <w:gridCol w:w="1449"/>
      </w:tblGrid>
      <w:tr w:rsidR="00B66B38" w:rsidTr="00B66B38">
        <w:trPr>
          <w:trHeight w:val="290"/>
        </w:trPr>
        <w:tc>
          <w:tcPr>
            <w:tcW w:w="8971" w:type="dxa"/>
            <w:gridSpan w:val="6"/>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rPr>
            </w:pPr>
            <w:r>
              <w:rPr>
                <w:rFonts w:ascii="Times New Roman" w:hAnsi="Times New Roman" w:cs="Times New Roman"/>
                <w:b/>
                <w:bCs/>
                <w:sz w:val="20"/>
              </w:rPr>
              <w:lastRenderedPageBreak/>
              <w:t>Table 4. Baseline regression. Propensity to pay a dividend and the firm's life cycle</w:t>
            </w:r>
          </w:p>
        </w:tc>
      </w:tr>
      <w:tr w:rsidR="00B66B38" w:rsidTr="00B66B38">
        <w:trPr>
          <w:trHeight w:val="305"/>
        </w:trPr>
        <w:tc>
          <w:tcPr>
            <w:tcW w:w="172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DDIV</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144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w:t>
            </w:r>
          </w:p>
        </w:tc>
        <w:tc>
          <w:tcPr>
            <w:tcW w:w="144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RE/TE</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0.171**</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0.178**</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(2.29)</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(2.35)</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Log Age</w:t>
            </w: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0.0335**</w:t>
            </w: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0.0353**</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(2.12)</w:t>
            </w: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(2.36)</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FCF/TA</w:t>
            </w: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0.749</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0.741*</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(1.63)</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(1.66)</w:t>
            </w: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LC-Index</w:t>
            </w: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0.217**</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jc w:val="right"/>
              <w:rPr>
                <w:rFonts w:ascii="Times New Roman" w:hAnsi="Times New Roman" w:cs="Times New Roman"/>
                <w:i/>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50"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(2.34)</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ROA</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2.372***</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2.211***</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2.081***</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1.959***</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2.187***</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(3.37)</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(3.35)</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(3.17)</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(2.99)</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(3.26)</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M/B</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0.0756***</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0.0445*</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0.0402</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0.0461*</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0.0877***</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(2.73)</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(1.73)</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(1.55)</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(1.83)</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(3.05)</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Cash/TA</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2.832***</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3.042***</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2.947***</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3.082***</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2.733***</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(3.70)</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(3.95)</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(3.79)</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(4.02)</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(3.52)</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Size</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44.88**</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47.44**</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53.14**</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55.78**</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40.84**</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(2.17)</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(2.31)</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(2.26)</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(2.41)</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(2.19)</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proofErr w:type="spellStart"/>
            <w:r>
              <w:rPr>
                <w:rFonts w:ascii="Times New Roman" w:hAnsi="Times New Roman" w:cs="Times New Roman"/>
                <w:i/>
                <w:sz w:val="20"/>
                <w:lang w:val="fr-FR"/>
              </w:rPr>
              <w:t>Debt</w:t>
            </w:r>
            <w:proofErr w:type="spellEnd"/>
            <w:r>
              <w:rPr>
                <w:rFonts w:ascii="Times New Roman" w:hAnsi="Times New Roman" w:cs="Times New Roman"/>
                <w:i/>
                <w:sz w:val="20"/>
                <w:lang w:val="fr-FR"/>
              </w:rPr>
              <w:t>/TA</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-0.0170***</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-0.0199***</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-0.0192***</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-0.0192***</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-0.0175***</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(-4.70)</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(-5.14)</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(-5.02)</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(-5.05)</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(-4.85)</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proofErr w:type="spellStart"/>
            <w:r>
              <w:rPr>
                <w:rFonts w:ascii="Times New Roman" w:hAnsi="Times New Roman" w:cs="Times New Roman"/>
                <w:i/>
                <w:sz w:val="20"/>
                <w:lang w:val="fr-FR"/>
              </w:rPr>
              <w:t>Largest</w:t>
            </w:r>
            <w:proofErr w:type="spellEnd"/>
            <w:r>
              <w:rPr>
                <w:rFonts w:ascii="Times New Roman" w:hAnsi="Times New Roman" w:cs="Times New Roman"/>
                <w:i/>
                <w:sz w:val="20"/>
                <w:lang w:val="fr-FR"/>
              </w:rPr>
              <w:t xml:space="preserve"> SH</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0.390*</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0.339</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0.340</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0.336</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0.405*</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(1.68)</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(1.31)</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(1.31)</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(1.31)</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(1.76)</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 xml:space="preserve">HHI </w:t>
            </w:r>
            <w:proofErr w:type="spellStart"/>
            <w:r>
              <w:rPr>
                <w:rFonts w:ascii="Times New Roman" w:hAnsi="Times New Roman" w:cs="Times New Roman"/>
                <w:i/>
                <w:sz w:val="20"/>
                <w:lang w:val="fr-FR"/>
              </w:rPr>
              <w:t>Inds</w:t>
            </w:r>
            <w:proofErr w:type="spellEnd"/>
            <w:r>
              <w:rPr>
                <w:rFonts w:ascii="Times New Roman" w:hAnsi="Times New Roman" w:cs="Times New Roman"/>
                <w:i/>
                <w:sz w:val="20"/>
                <w:lang w:val="fr-FR"/>
              </w:rPr>
              <w:t>.</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-1.775**</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-1.642*</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-1.759*</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-1.698*</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-1.854**</w:t>
            </w:r>
          </w:p>
        </w:tc>
      </w:tr>
      <w:tr w:rsidR="00B66B38" w:rsidTr="00B66B38">
        <w:trPr>
          <w:trHeight w:val="305"/>
        </w:trPr>
        <w:tc>
          <w:tcPr>
            <w:tcW w:w="1723" w:type="dxa"/>
            <w:shd w:val="solid" w:color="FFFFFF" w:fill="auto"/>
          </w:tcPr>
          <w:p w:rsidR="00B66B38" w:rsidRDefault="00B66B38">
            <w:pPr>
              <w:autoSpaceDE w:val="0"/>
              <w:autoSpaceDN w:val="0"/>
              <w:adjustRightInd w:val="0"/>
              <w:spacing w:after="0"/>
              <w:jc w:val="right"/>
              <w:rPr>
                <w:rFonts w:ascii="Times New Roman" w:hAnsi="Times New Roman" w:cs="Times New Roman"/>
                <w:i/>
                <w:sz w:val="20"/>
                <w:lang w:val="fr-FR"/>
              </w:rPr>
            </w:pP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(-2.11)</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(-1.85)</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(-1.94)</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(-1.91)</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(-2.17)</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i/>
                <w:sz w:val="20"/>
                <w:lang w:val="fr-FR"/>
              </w:rPr>
            </w:pPr>
            <w:r>
              <w:rPr>
                <w:rFonts w:ascii="Times New Roman" w:hAnsi="Times New Roman" w:cs="Times New Roman"/>
                <w:i/>
                <w:sz w:val="20"/>
                <w:lang w:val="fr-FR"/>
              </w:rPr>
              <w:t>Constant</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4.119***</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2.657***</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4.558***</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3.891***</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2.359***</w:t>
            </w:r>
          </w:p>
        </w:tc>
      </w:tr>
      <w:tr w:rsidR="00B66B38" w:rsidTr="00B66B38">
        <w:trPr>
          <w:trHeight w:val="305"/>
        </w:trPr>
        <w:tc>
          <w:tcPr>
            <w:tcW w:w="1723"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i/>
                <w:sz w:val="20"/>
                <w:lang w:val="fr-FR"/>
              </w:rPr>
            </w:pP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(5.94)</w:t>
            </w:r>
          </w:p>
        </w:tc>
        <w:tc>
          <w:tcPr>
            <w:tcW w:w="144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(3.24)</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(6.21)</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(5.23)</w:t>
            </w:r>
          </w:p>
        </w:tc>
        <w:tc>
          <w:tcPr>
            <w:tcW w:w="144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(3.02)</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Year</w:t>
            </w:r>
            <w:proofErr w:type="spellEnd"/>
            <w:r>
              <w:rPr>
                <w:rFonts w:ascii="Times New Roman" w:hAnsi="Times New Roman" w:cs="Times New Roman"/>
                <w:sz w:val="20"/>
                <w:lang w:val="fr-FR"/>
              </w:rPr>
              <w:t xml:space="preserve"> FE</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Industry</w:t>
            </w:r>
            <w:proofErr w:type="spellEnd"/>
            <w:r>
              <w:rPr>
                <w:rFonts w:ascii="Times New Roman" w:hAnsi="Times New Roman" w:cs="Times New Roman"/>
                <w:sz w:val="20"/>
                <w:lang w:val="fr-FR"/>
              </w:rPr>
              <w:t xml:space="preserve"> FE</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Yes</w:t>
            </w:r>
            <w:proofErr w:type="spellEnd"/>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AIC</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2184.6</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2211.1</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2220.4</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2219.5</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2163.0</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BIC</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2436.4</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2463.2</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2472.5</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2471.6</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2426.5</w:t>
            </w:r>
          </w:p>
        </w:tc>
      </w:tr>
      <w:tr w:rsidR="00B66B38" w:rsidTr="00B66B38">
        <w:trPr>
          <w:trHeight w:val="305"/>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rho</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0.594</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0.614</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0.635</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0.615</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0.564</w:t>
            </w:r>
          </w:p>
        </w:tc>
      </w:tr>
      <w:tr w:rsidR="00B66B38" w:rsidTr="00B66B38">
        <w:trPr>
          <w:trHeight w:val="290"/>
        </w:trPr>
        <w:tc>
          <w:tcPr>
            <w:tcW w:w="172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No. of Groups</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309</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309</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309</w:t>
            </w:r>
          </w:p>
        </w:tc>
        <w:tc>
          <w:tcPr>
            <w:tcW w:w="1450"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309</w:t>
            </w:r>
          </w:p>
        </w:tc>
        <w:tc>
          <w:tcPr>
            <w:tcW w:w="1449"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309</w:t>
            </w:r>
          </w:p>
        </w:tc>
      </w:tr>
      <w:tr w:rsidR="00B66B38" w:rsidTr="00B66B38">
        <w:trPr>
          <w:trHeight w:val="290"/>
        </w:trPr>
        <w:tc>
          <w:tcPr>
            <w:tcW w:w="172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N</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2600</w:t>
            </w:r>
          </w:p>
        </w:tc>
        <w:tc>
          <w:tcPr>
            <w:tcW w:w="144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2600</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2600</w:t>
            </w:r>
          </w:p>
        </w:tc>
        <w:tc>
          <w:tcPr>
            <w:tcW w:w="1450"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2600</w:t>
            </w:r>
          </w:p>
        </w:tc>
        <w:tc>
          <w:tcPr>
            <w:tcW w:w="1449"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2600</w:t>
            </w:r>
          </w:p>
        </w:tc>
      </w:tr>
      <w:tr w:rsidR="00B66B38" w:rsidTr="00B66B38">
        <w:trPr>
          <w:trHeight w:val="305"/>
        </w:trPr>
        <w:tc>
          <w:tcPr>
            <w:tcW w:w="6072" w:type="dxa"/>
            <w:gridSpan w:val="4"/>
            <w:shd w:val="solid" w:color="FFFFFF" w:fill="auto"/>
            <w:hideMark/>
          </w:tcPr>
          <w:p w:rsidR="00B66B38" w:rsidRDefault="00B66B38">
            <w:pPr>
              <w:autoSpaceDE w:val="0"/>
              <w:autoSpaceDN w:val="0"/>
              <w:adjustRightInd w:val="0"/>
              <w:spacing w:after="0"/>
              <w:rPr>
                <w:rFonts w:ascii="Times New Roman" w:hAnsi="Times New Roman" w:cs="Times New Roman"/>
                <w:sz w:val="20"/>
              </w:rPr>
            </w:pPr>
            <w:r>
              <w:rPr>
                <w:rFonts w:ascii="Times New Roman" w:hAnsi="Times New Roman" w:cs="Times New Roman"/>
                <w:sz w:val="20"/>
              </w:rPr>
              <w:t>z statistic in parentheses. * p&lt; 10%, **p &lt; 5%, ***p &lt; 1%</w:t>
            </w:r>
          </w:p>
        </w:tc>
        <w:tc>
          <w:tcPr>
            <w:tcW w:w="1450"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rPr>
            </w:pPr>
          </w:p>
        </w:tc>
        <w:tc>
          <w:tcPr>
            <w:tcW w:w="1449"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rPr>
            </w:pPr>
          </w:p>
        </w:tc>
      </w:tr>
      <w:tr w:rsidR="00B66B38" w:rsidTr="00B66B38">
        <w:trPr>
          <w:trHeight w:val="305"/>
        </w:trPr>
        <w:tc>
          <w:tcPr>
            <w:tcW w:w="8971" w:type="dxa"/>
            <w:gridSpan w:val="6"/>
            <w:shd w:val="solid" w:color="FFFFFF" w:fill="auto"/>
            <w:hideMark/>
          </w:tcPr>
          <w:p w:rsidR="00B66B38" w:rsidRDefault="00B66B38">
            <w:pPr>
              <w:autoSpaceDE w:val="0"/>
              <w:autoSpaceDN w:val="0"/>
              <w:adjustRightInd w:val="0"/>
              <w:spacing w:after="0"/>
              <w:jc w:val="both"/>
              <w:rPr>
                <w:rFonts w:ascii="Times New Roman" w:hAnsi="Times New Roman" w:cs="Times New Roman"/>
                <w:i/>
                <w:iCs/>
                <w:sz w:val="18"/>
                <w:szCs w:val="20"/>
              </w:rPr>
            </w:pPr>
            <w:r>
              <w:rPr>
                <w:rFonts w:ascii="Times New Roman" w:hAnsi="Times New Roman" w:cs="Times New Roman"/>
                <w:i/>
                <w:iCs/>
                <w:sz w:val="18"/>
                <w:szCs w:val="20"/>
              </w:rPr>
              <w:t xml:space="preserve">Dependent variable is DDIV = dummy variable equals one if the firm pays a dividend and zero otherwise. RE/TE = retained earnings to total equity; Log Age = natural logarithm of the firm's age; FCF/TA = free cash flow to total assets; LC-Index = life-cycle index; ROA = return on assets; M/B = market value of equity to its book value; Size =  firm’s market capitalization to total market capitalization;  D/TA = long term debt to total assets; Cash/TA = cash holdings to total assets; Largest SH = the percentage of shares of the largest shareholder; HHI </w:t>
            </w:r>
            <w:proofErr w:type="spellStart"/>
            <w:r>
              <w:rPr>
                <w:rFonts w:ascii="Times New Roman" w:hAnsi="Times New Roman" w:cs="Times New Roman"/>
                <w:i/>
                <w:iCs/>
                <w:sz w:val="18"/>
                <w:szCs w:val="20"/>
              </w:rPr>
              <w:t>Inds</w:t>
            </w:r>
            <w:proofErr w:type="spellEnd"/>
            <w:r>
              <w:rPr>
                <w:rFonts w:ascii="Times New Roman" w:hAnsi="Times New Roman" w:cs="Times New Roman"/>
                <w:i/>
                <w:iCs/>
                <w:sz w:val="18"/>
                <w:szCs w:val="20"/>
              </w:rPr>
              <w:t>.=HHI of total assets industry k. Standard error is  adjusted for clustering of firms.</w:t>
            </w:r>
          </w:p>
        </w:tc>
      </w:tr>
    </w:tbl>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tbl>
      <w:tblPr>
        <w:tblW w:w="8364" w:type="dxa"/>
        <w:tblLook w:val="04A0" w:firstRow="1" w:lastRow="0" w:firstColumn="1" w:lastColumn="0" w:noHBand="0" w:noVBand="1"/>
      </w:tblPr>
      <w:tblGrid>
        <w:gridCol w:w="2057"/>
        <w:gridCol w:w="1542"/>
        <w:gridCol w:w="1542"/>
        <w:gridCol w:w="1380"/>
        <w:gridCol w:w="1843"/>
      </w:tblGrid>
      <w:tr w:rsidR="00B66B38" w:rsidTr="00B66B38">
        <w:trPr>
          <w:trHeight w:val="308"/>
        </w:trPr>
        <w:tc>
          <w:tcPr>
            <w:tcW w:w="5141" w:type="dxa"/>
            <w:gridSpan w:val="3"/>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lastRenderedPageBreak/>
              <w:t xml:space="preserve">Table </w:t>
            </w:r>
            <w:r w:rsidR="009B0C16">
              <w:rPr>
                <w:rFonts w:ascii="Times New Roman" w:eastAsia="Times New Roman" w:hAnsi="Times New Roman" w:cs="Times New Roman"/>
                <w:sz w:val="20"/>
                <w:lang w:eastAsia="en-GB"/>
              </w:rPr>
              <w:t>5</w:t>
            </w:r>
            <w:r>
              <w:rPr>
                <w:rFonts w:ascii="Times New Roman" w:eastAsia="Times New Roman" w:hAnsi="Times New Roman" w:cs="Times New Roman"/>
                <w:sz w:val="20"/>
                <w:lang w:eastAsia="en-GB"/>
              </w:rPr>
              <w:t>. Cash Dividend and the firm's life-cycle</w:t>
            </w:r>
          </w:p>
        </w:tc>
        <w:tc>
          <w:tcPr>
            <w:tcW w:w="1380"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843"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15"/>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3084" w:type="dxa"/>
            <w:gridSpan w:val="2"/>
            <w:tcBorders>
              <w:top w:val="single" w:sz="4" w:space="0" w:color="auto"/>
              <w:left w:val="nil"/>
              <w:bottom w:val="single" w:sz="4" w:space="0" w:color="auto"/>
              <w:right w:val="nil"/>
            </w:tcBorders>
            <w:shd w:val="clear" w:color="auto" w:fill="FFFFFF"/>
            <w:noWrap/>
            <w:vAlign w:val="bottom"/>
            <w:hideMark/>
          </w:tcPr>
          <w:p w:rsidR="00B66B38" w:rsidRDefault="00B66B38">
            <w:pPr>
              <w:spacing w:after="0"/>
              <w:jc w:val="center"/>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Fixed Effects</w:t>
            </w:r>
          </w:p>
        </w:tc>
        <w:tc>
          <w:tcPr>
            <w:tcW w:w="3223" w:type="dxa"/>
            <w:gridSpan w:val="2"/>
            <w:tcBorders>
              <w:top w:val="nil"/>
              <w:left w:val="nil"/>
              <w:bottom w:val="single" w:sz="4" w:space="0" w:color="auto"/>
              <w:right w:val="nil"/>
            </w:tcBorders>
            <w:shd w:val="clear" w:color="auto" w:fill="FFFFFF"/>
            <w:noWrap/>
            <w:vAlign w:val="bottom"/>
            <w:hideMark/>
          </w:tcPr>
          <w:p w:rsidR="00B66B38" w:rsidRDefault="00B66B38">
            <w:pPr>
              <w:spacing w:after="0"/>
              <w:jc w:val="center"/>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GMM System</w:t>
            </w:r>
          </w:p>
        </w:tc>
      </w:tr>
      <w:tr w:rsidR="00B66B38" w:rsidTr="00B66B38">
        <w:trPr>
          <w:trHeight w:val="308"/>
        </w:trPr>
        <w:tc>
          <w:tcPr>
            <w:tcW w:w="2057"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proofErr w:type="spellStart"/>
            <w:r>
              <w:rPr>
                <w:rFonts w:ascii="Times New Roman" w:eastAsia="Times New Roman" w:hAnsi="Times New Roman" w:cs="Times New Roman"/>
                <w:i/>
                <w:sz w:val="20"/>
                <w:lang w:eastAsia="en-GB"/>
              </w:rPr>
              <w:t>Div</w:t>
            </w:r>
            <w:proofErr w:type="spellEnd"/>
            <w:r>
              <w:rPr>
                <w:rFonts w:ascii="Times New Roman" w:eastAsia="Times New Roman" w:hAnsi="Times New Roman" w:cs="Times New Roman"/>
                <w:i/>
                <w:sz w:val="20"/>
                <w:lang w:eastAsia="en-GB"/>
              </w:rPr>
              <w:t>/TA</w:t>
            </w:r>
          </w:p>
        </w:tc>
        <w:tc>
          <w:tcPr>
            <w:tcW w:w="1542" w:type="dxa"/>
            <w:tcBorders>
              <w:top w:val="nil"/>
              <w:left w:val="nil"/>
              <w:bottom w:val="single" w:sz="4" w:space="0" w:color="auto"/>
              <w:right w:val="nil"/>
            </w:tcBorders>
            <w:shd w:val="clear" w:color="auto" w:fill="FFFFFF"/>
            <w:noWrap/>
            <w:vAlign w:val="bottom"/>
            <w:hideMark/>
          </w:tcPr>
          <w:p w:rsidR="00B66B38" w:rsidRDefault="00B66B38">
            <w:pPr>
              <w:spacing w:after="0"/>
              <w:jc w:val="center"/>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w:t>
            </w:r>
            <w:r w:rsidR="00066DEB">
              <w:rPr>
                <w:rFonts w:ascii="Times New Roman" w:eastAsia="Times New Roman" w:hAnsi="Times New Roman" w:cs="Times New Roman"/>
                <w:sz w:val="20"/>
                <w:lang w:eastAsia="en-GB"/>
              </w:rPr>
              <w:t>6</w:t>
            </w:r>
            <w:r>
              <w:rPr>
                <w:rFonts w:ascii="Times New Roman" w:eastAsia="Times New Roman" w:hAnsi="Times New Roman" w:cs="Times New Roman"/>
                <w:sz w:val="20"/>
                <w:lang w:eastAsia="en-GB"/>
              </w:rPr>
              <w:t>)</w:t>
            </w:r>
          </w:p>
        </w:tc>
        <w:tc>
          <w:tcPr>
            <w:tcW w:w="1542" w:type="dxa"/>
            <w:tcBorders>
              <w:top w:val="nil"/>
              <w:left w:val="nil"/>
              <w:bottom w:val="single" w:sz="4" w:space="0" w:color="auto"/>
              <w:right w:val="nil"/>
            </w:tcBorders>
            <w:shd w:val="clear" w:color="auto" w:fill="FFFFFF"/>
            <w:noWrap/>
            <w:vAlign w:val="bottom"/>
            <w:hideMark/>
          </w:tcPr>
          <w:p w:rsidR="00B66B38" w:rsidRDefault="00B66B38">
            <w:pPr>
              <w:spacing w:after="0"/>
              <w:jc w:val="center"/>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w:t>
            </w:r>
            <w:r w:rsidR="00066DEB">
              <w:rPr>
                <w:rFonts w:ascii="Times New Roman" w:eastAsia="Times New Roman" w:hAnsi="Times New Roman" w:cs="Times New Roman"/>
                <w:sz w:val="20"/>
                <w:lang w:eastAsia="en-GB"/>
              </w:rPr>
              <w:t>7</w:t>
            </w:r>
            <w:r>
              <w:rPr>
                <w:rFonts w:ascii="Times New Roman" w:eastAsia="Times New Roman" w:hAnsi="Times New Roman" w:cs="Times New Roman"/>
                <w:sz w:val="20"/>
                <w:lang w:eastAsia="en-GB"/>
              </w:rPr>
              <w:t>)</w:t>
            </w:r>
          </w:p>
        </w:tc>
        <w:tc>
          <w:tcPr>
            <w:tcW w:w="1380" w:type="dxa"/>
            <w:tcBorders>
              <w:top w:val="nil"/>
              <w:left w:val="nil"/>
              <w:bottom w:val="single" w:sz="4" w:space="0" w:color="auto"/>
              <w:right w:val="nil"/>
            </w:tcBorders>
            <w:shd w:val="clear" w:color="auto" w:fill="FFFFFF"/>
            <w:noWrap/>
            <w:vAlign w:val="bottom"/>
            <w:hideMark/>
          </w:tcPr>
          <w:p w:rsidR="00B66B38" w:rsidRDefault="00B66B38">
            <w:pPr>
              <w:spacing w:after="0"/>
              <w:jc w:val="center"/>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w:t>
            </w:r>
            <w:r w:rsidR="00066DEB">
              <w:rPr>
                <w:rFonts w:ascii="Times New Roman" w:eastAsia="Times New Roman" w:hAnsi="Times New Roman" w:cs="Times New Roman"/>
                <w:sz w:val="20"/>
                <w:lang w:eastAsia="en-GB"/>
              </w:rPr>
              <w:t>8</w:t>
            </w:r>
            <w:r>
              <w:rPr>
                <w:rFonts w:ascii="Times New Roman" w:eastAsia="Times New Roman" w:hAnsi="Times New Roman" w:cs="Times New Roman"/>
                <w:sz w:val="20"/>
                <w:lang w:eastAsia="en-GB"/>
              </w:rPr>
              <w:t>)</w:t>
            </w:r>
          </w:p>
        </w:tc>
        <w:tc>
          <w:tcPr>
            <w:tcW w:w="1843" w:type="dxa"/>
            <w:tcBorders>
              <w:top w:val="nil"/>
              <w:left w:val="nil"/>
              <w:bottom w:val="single" w:sz="4" w:space="0" w:color="auto"/>
              <w:right w:val="nil"/>
            </w:tcBorders>
            <w:shd w:val="clear" w:color="auto" w:fill="FFFFFF"/>
            <w:noWrap/>
            <w:vAlign w:val="bottom"/>
            <w:hideMark/>
          </w:tcPr>
          <w:p w:rsidR="00B66B38" w:rsidRDefault="00B66B38">
            <w:pPr>
              <w:spacing w:after="0"/>
              <w:jc w:val="center"/>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w:t>
            </w:r>
            <w:r w:rsidR="00066DEB">
              <w:rPr>
                <w:rFonts w:ascii="Times New Roman" w:eastAsia="Times New Roman" w:hAnsi="Times New Roman" w:cs="Times New Roman"/>
                <w:sz w:val="20"/>
                <w:lang w:eastAsia="en-GB"/>
              </w:rPr>
              <w:t>9</w:t>
            </w:r>
            <w:bookmarkStart w:id="0" w:name="_GoBack"/>
            <w:bookmarkEnd w:id="0"/>
            <w:r>
              <w:rPr>
                <w:rFonts w:ascii="Times New Roman" w:eastAsia="Times New Roman" w:hAnsi="Times New Roman" w:cs="Times New Roman"/>
                <w:sz w:val="20"/>
                <w:lang w:eastAsia="en-GB"/>
              </w:rPr>
              <w:t>)</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RE/TE</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0.00107***</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0.000721*</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(3.96)</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(1.77)</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Log Age</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0.00359**</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0.00257</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(1.96)</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(1.35)</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FCF/TA</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0.0283***</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0.0134**</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15"/>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(3.36)</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(2.13)</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LC-Index</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0.00461***</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0.00526***</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(4.43)</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(3.47)</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ROA</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0.0746***</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0.0789***</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0.0469**</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0.0437*</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(3.34)</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(3.41)</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(2.01)</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(1.88)</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M/B</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0.00138***</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0.00206***</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0.00322***</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0.00402***</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(3.10)</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(2.62)</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(3.16)</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(3.30)</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Cash/TA</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0.0567***</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0.0644***</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0.0304***</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0.0286***</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(5.19)</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(5.84)</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(3.37)</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(3.36)</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Size</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0.699***</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1.392**</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0.120</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0.306</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(3.58)</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(2.29)</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(1.00)</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(1.15)</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Debt/TA</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-0.000269***</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-0.000278***</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-0.000377**</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-0.00038***</w:t>
            </w:r>
          </w:p>
        </w:tc>
      </w:tr>
      <w:tr w:rsidR="00B66B38" w:rsidTr="00B66B38">
        <w:trPr>
          <w:trHeight w:val="315"/>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(-6.87)</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(-7.09)</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(-2.50)</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(-2.66)</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Largest SH</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0.0106***</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0.0105**</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0.0312</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0.0265</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(2.90)</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(2.54)</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(1.60)</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(1.64)</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xml:space="preserve">HHI </w:t>
            </w:r>
            <w:proofErr w:type="spellStart"/>
            <w:r>
              <w:rPr>
                <w:rFonts w:ascii="Times New Roman" w:eastAsia="Times New Roman" w:hAnsi="Times New Roman" w:cs="Times New Roman"/>
                <w:i/>
                <w:sz w:val="20"/>
                <w:lang w:eastAsia="en-GB"/>
              </w:rPr>
              <w:t>Inds</w:t>
            </w:r>
            <w:proofErr w:type="spellEnd"/>
            <w:r>
              <w:rPr>
                <w:rFonts w:ascii="Times New Roman" w:eastAsia="Times New Roman" w:hAnsi="Times New Roman" w:cs="Times New Roman"/>
                <w:i/>
                <w:sz w:val="20"/>
                <w:lang w:eastAsia="en-GB"/>
              </w:rPr>
              <w:t>.</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-0.00990</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0.00295</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-0.00938</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-0.00676</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(-0.82)</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(0.16)</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(-1.02)</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(-0.73)</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proofErr w:type="spellStart"/>
            <w:r>
              <w:rPr>
                <w:rFonts w:ascii="Times New Roman" w:eastAsia="Times New Roman" w:hAnsi="Times New Roman" w:cs="Times New Roman"/>
                <w:i/>
                <w:sz w:val="20"/>
                <w:lang w:eastAsia="en-GB"/>
              </w:rPr>
              <w:t>L.Div</w:t>
            </w:r>
            <w:proofErr w:type="spellEnd"/>
            <w:r>
              <w:rPr>
                <w:rFonts w:ascii="Times New Roman" w:eastAsia="Times New Roman" w:hAnsi="Times New Roman" w:cs="Times New Roman"/>
                <w:i/>
                <w:sz w:val="20"/>
                <w:lang w:eastAsia="en-GB"/>
              </w:rPr>
              <w:t>/TA</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0.537***</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0.599***</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(4.77)</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(6.23)</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Constant</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0.00669</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-0.00800</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-0.0162</w:t>
            </w:r>
          </w:p>
        </w:tc>
      </w:tr>
      <w:tr w:rsidR="00B66B38" w:rsidTr="00B66B38">
        <w:trPr>
          <w:trHeight w:val="308"/>
        </w:trPr>
        <w:tc>
          <w:tcPr>
            <w:tcW w:w="2057"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i/>
                <w:sz w:val="20"/>
                <w:lang w:eastAsia="en-GB"/>
              </w:rPr>
            </w:pPr>
            <w:r>
              <w:rPr>
                <w:rFonts w:ascii="Times New Roman" w:eastAsia="Times New Roman" w:hAnsi="Times New Roman" w:cs="Times New Roman"/>
                <w:i/>
                <w:sz w:val="20"/>
                <w:lang w:eastAsia="en-GB"/>
              </w:rPr>
              <w:t> </w:t>
            </w:r>
          </w:p>
        </w:tc>
        <w:tc>
          <w:tcPr>
            <w:tcW w:w="1542"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(0.65)</w:t>
            </w:r>
          </w:p>
        </w:tc>
        <w:tc>
          <w:tcPr>
            <w:tcW w:w="1542"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(-0.50)</w:t>
            </w:r>
          </w:p>
        </w:tc>
        <w:tc>
          <w:tcPr>
            <w:tcW w:w="1380"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w:t>
            </w:r>
          </w:p>
        </w:tc>
        <w:tc>
          <w:tcPr>
            <w:tcW w:w="1843"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(-1.39)</w:t>
            </w:r>
          </w:p>
        </w:tc>
      </w:tr>
      <w:tr w:rsidR="00B66B38" w:rsidTr="00B66B38">
        <w:trPr>
          <w:trHeight w:val="300"/>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R-Squared</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0.523</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0.527</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r>
      <w:tr w:rsidR="00B66B38" w:rsidTr="00B66B38">
        <w:trPr>
          <w:trHeight w:val="300"/>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No. of Groups</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309</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309</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309</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309</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N</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2578</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2602</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2578</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2602</w:t>
            </w:r>
          </w:p>
        </w:tc>
      </w:tr>
      <w:tr w:rsidR="00B66B38" w:rsidTr="00B66B38">
        <w:trPr>
          <w:trHeight w:val="308"/>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p-val. AR(1)</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0.061</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0.058</w:t>
            </w:r>
          </w:p>
        </w:tc>
      </w:tr>
      <w:tr w:rsidR="00B66B38" w:rsidTr="00B66B38">
        <w:trPr>
          <w:trHeight w:val="285"/>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p-val. AR(2)</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0.385</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0.322</w:t>
            </w:r>
          </w:p>
        </w:tc>
      </w:tr>
      <w:tr w:rsidR="00B66B38" w:rsidTr="00B66B38">
        <w:trPr>
          <w:trHeight w:val="300"/>
        </w:trPr>
        <w:tc>
          <w:tcPr>
            <w:tcW w:w="2057"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P-val. Hansen stat.</w:t>
            </w:r>
          </w:p>
        </w:tc>
        <w:tc>
          <w:tcPr>
            <w:tcW w:w="1542" w:type="dxa"/>
            <w:noWrap/>
            <w:vAlign w:val="bottom"/>
            <w:hideMark/>
          </w:tcPr>
          <w:p w:rsidR="00B66B38" w:rsidRDefault="00B66B38">
            <w:pPr>
              <w:rPr>
                <w:rFonts w:ascii="Times New Roman" w:eastAsia="Times New Roman" w:hAnsi="Times New Roman" w:cs="Times New Roman"/>
                <w:sz w:val="20"/>
                <w:lang w:eastAsia="en-GB"/>
              </w:rPr>
            </w:pP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0.158</w:t>
            </w:r>
          </w:p>
        </w:tc>
        <w:tc>
          <w:tcPr>
            <w:tcW w:w="1843" w:type="dxa"/>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0.15</w:t>
            </w:r>
          </w:p>
        </w:tc>
      </w:tr>
      <w:tr w:rsidR="00B66B38" w:rsidTr="00B66B38">
        <w:trPr>
          <w:trHeight w:val="300"/>
        </w:trPr>
        <w:tc>
          <w:tcPr>
            <w:tcW w:w="2057" w:type="dxa"/>
            <w:tcBorders>
              <w:top w:val="nil"/>
              <w:left w:val="nil"/>
              <w:bottom w:val="single" w:sz="4" w:space="0" w:color="auto"/>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No. Instruments</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542"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 </w:t>
            </w:r>
          </w:p>
        </w:tc>
        <w:tc>
          <w:tcPr>
            <w:tcW w:w="1380"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205</w:t>
            </w:r>
          </w:p>
        </w:tc>
        <w:tc>
          <w:tcPr>
            <w:tcW w:w="1843" w:type="dxa"/>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203</w:t>
            </w:r>
          </w:p>
        </w:tc>
      </w:tr>
      <w:tr w:rsidR="00B66B38" w:rsidTr="00B66B38">
        <w:trPr>
          <w:trHeight w:val="300"/>
        </w:trPr>
        <w:tc>
          <w:tcPr>
            <w:tcW w:w="8364" w:type="dxa"/>
            <w:gridSpan w:val="5"/>
            <w:tcBorders>
              <w:top w:val="single" w:sz="4" w:space="0" w:color="auto"/>
              <w:left w:val="nil"/>
              <w:bottom w:val="nil"/>
              <w:right w:val="nil"/>
            </w:tcBorders>
            <w:shd w:val="clear" w:color="auto" w:fill="FFFFFF"/>
            <w:noWrap/>
            <w:vAlign w:val="bottom"/>
            <w:hideMark/>
          </w:tcPr>
          <w:p w:rsidR="00B66B38" w:rsidRDefault="00B66B38">
            <w:pPr>
              <w:spacing w:after="0"/>
              <w:rPr>
                <w:rFonts w:ascii="Times New Roman" w:eastAsia="Times New Roman" w:hAnsi="Times New Roman" w:cs="Times New Roman"/>
                <w:sz w:val="20"/>
                <w:lang w:eastAsia="en-GB"/>
              </w:rPr>
            </w:pPr>
            <w:r>
              <w:rPr>
                <w:rFonts w:ascii="Times New Roman" w:eastAsia="Times New Roman" w:hAnsi="Times New Roman" w:cs="Times New Roman"/>
                <w:sz w:val="20"/>
                <w:lang w:eastAsia="en-GB"/>
              </w:rPr>
              <w:t>t  statistic in parentheses. * p&lt; 10%, **p &lt; 5%, ***p &lt; 1%</w:t>
            </w:r>
          </w:p>
        </w:tc>
      </w:tr>
      <w:tr w:rsidR="00B66B38" w:rsidTr="00B66B38">
        <w:trPr>
          <w:trHeight w:val="300"/>
        </w:trPr>
        <w:tc>
          <w:tcPr>
            <w:tcW w:w="8364" w:type="dxa"/>
            <w:gridSpan w:val="5"/>
            <w:shd w:val="clear" w:color="auto" w:fill="FFFFFF"/>
            <w:noWrap/>
            <w:vAlign w:val="bottom"/>
            <w:hideMark/>
          </w:tcPr>
          <w:p w:rsidR="00B66B38" w:rsidRDefault="00B66B38">
            <w:pPr>
              <w:spacing w:after="0"/>
              <w:jc w:val="both"/>
              <w:rPr>
                <w:rFonts w:ascii="Times New Roman" w:eastAsia="Times New Roman" w:hAnsi="Times New Roman" w:cs="Times New Roman"/>
                <w:i/>
                <w:iCs/>
                <w:sz w:val="18"/>
                <w:szCs w:val="20"/>
                <w:lang w:eastAsia="en-GB"/>
              </w:rPr>
            </w:pPr>
            <w:r>
              <w:rPr>
                <w:rFonts w:ascii="Times New Roman" w:eastAsia="Times New Roman" w:hAnsi="Times New Roman" w:cs="Times New Roman"/>
                <w:i/>
                <w:iCs/>
                <w:sz w:val="18"/>
                <w:szCs w:val="20"/>
                <w:lang w:eastAsia="en-GB"/>
              </w:rPr>
              <w:t xml:space="preserve">Twostep GMM System estimator with standard error corrected using finite sample correction of </w:t>
            </w:r>
            <w:hyperlink r:id="rId5" w:anchor="_ENREF_33" w:tooltip="Windmeijer, 2005 #224" w:history="1">
              <w:r>
                <w:rPr>
                  <w:rStyle w:val="Hyperlink"/>
                  <w:rFonts w:ascii="Times New Roman" w:eastAsia="Times New Roman" w:hAnsi="Times New Roman" w:cs="Times New Roman"/>
                  <w:i/>
                  <w:iCs/>
                  <w:color w:val="auto"/>
                  <w:sz w:val="18"/>
                  <w:szCs w:val="20"/>
                  <w:lang w:eastAsia="en-GB"/>
                </w:rPr>
                <w:fldChar w:fldCharType="begin"/>
              </w:r>
              <w:r>
                <w:rPr>
                  <w:rStyle w:val="Hyperlink"/>
                  <w:rFonts w:ascii="Times New Roman" w:eastAsia="Times New Roman" w:hAnsi="Times New Roman" w:cs="Times New Roman"/>
                  <w:i/>
                  <w:iCs/>
                  <w:color w:val="auto"/>
                  <w:sz w:val="18"/>
                  <w:szCs w:val="20"/>
                  <w:lang w:eastAsia="en-GB"/>
                </w:rPr>
                <w:instrText xml:space="preserve"> ADDIN EN.CITE &lt;EndNote&gt;&lt;Cite AuthorYear="1"&gt;&lt;Author&gt;Windmeijer&lt;/Author&gt;&lt;Year&gt;2005&lt;/Year&gt;&lt;RecNum&gt;224&lt;/RecNum&gt;&lt;DisplayText&gt;Windmeijer (2005)&lt;/DisplayText&gt;&lt;record&gt;&lt;rec-number&gt;224&lt;/rec-number&gt;&lt;foreign-keys&gt;&lt;key app="EN" db-id="9pv9svtw4v25pue2td3x9efldtvfd9azzt20" timestamp="1414268794"&gt;224&lt;/key&gt;&lt;/foreign-keys&gt;&lt;ref-type name="Journal Article"&gt;17&lt;/ref-type&gt;&lt;contributors&gt;&lt;authors&gt;&lt;author&gt;Windmeijer, Frank&lt;/author&gt;&lt;/authors&gt;&lt;/contributors&gt;&lt;titles&gt;&lt;title&gt;A Finite Sample Correction for the Variance of Linear Efficient Two-Step GMM Estimators&lt;/title&gt;&lt;secondary-title&gt;Journal of Econometrics&lt;/secondary-title&gt;&lt;/titles&gt;&lt;periodical&gt;&lt;full-title&gt;Journal of Econometrics&lt;/full-title&gt;&lt;/periodical&gt;&lt;pages&gt;25-51&lt;/pages&gt;&lt;volume&gt;126&lt;/volume&gt;&lt;number&gt;1&lt;/number&gt;&lt;dates&gt;&lt;year&gt;2005&lt;/year&gt;&lt;/dates&gt;&lt;urls&gt;&lt;/urls&gt;&lt;/record&gt;&lt;/Cite&gt;&lt;/EndNote&gt;</w:instrText>
              </w:r>
              <w:r>
                <w:rPr>
                  <w:rStyle w:val="Hyperlink"/>
                  <w:rFonts w:ascii="Times New Roman" w:eastAsia="Times New Roman" w:hAnsi="Times New Roman" w:cs="Times New Roman"/>
                  <w:i/>
                  <w:iCs/>
                  <w:color w:val="auto"/>
                  <w:sz w:val="18"/>
                  <w:szCs w:val="20"/>
                  <w:lang w:eastAsia="en-GB"/>
                </w:rPr>
                <w:fldChar w:fldCharType="separate"/>
              </w:r>
              <w:r>
                <w:rPr>
                  <w:rStyle w:val="Hyperlink"/>
                  <w:rFonts w:ascii="Times New Roman" w:eastAsia="Times New Roman" w:hAnsi="Times New Roman" w:cs="Times New Roman"/>
                  <w:i/>
                  <w:iCs/>
                  <w:noProof/>
                  <w:color w:val="auto"/>
                  <w:sz w:val="18"/>
                  <w:szCs w:val="20"/>
                  <w:lang w:eastAsia="en-GB"/>
                </w:rPr>
                <w:t>Windmeijer (2005)</w:t>
              </w:r>
              <w:r>
                <w:rPr>
                  <w:rStyle w:val="Hyperlink"/>
                  <w:rFonts w:ascii="Times New Roman" w:eastAsia="Times New Roman" w:hAnsi="Times New Roman" w:cs="Times New Roman"/>
                  <w:i/>
                  <w:iCs/>
                  <w:color w:val="auto"/>
                  <w:sz w:val="18"/>
                  <w:szCs w:val="20"/>
                  <w:lang w:eastAsia="en-GB"/>
                </w:rPr>
                <w:fldChar w:fldCharType="end"/>
              </w:r>
            </w:hyperlink>
            <w:r>
              <w:rPr>
                <w:rFonts w:ascii="Times New Roman" w:eastAsia="Times New Roman" w:hAnsi="Times New Roman" w:cs="Times New Roman"/>
                <w:i/>
                <w:iCs/>
                <w:sz w:val="18"/>
                <w:szCs w:val="20"/>
                <w:lang w:eastAsia="en-GB"/>
              </w:rPr>
              <w:t xml:space="preserve">. Dependent variable is </w:t>
            </w:r>
            <w:proofErr w:type="spellStart"/>
            <w:r>
              <w:rPr>
                <w:rFonts w:ascii="Times New Roman" w:eastAsia="Times New Roman" w:hAnsi="Times New Roman" w:cs="Times New Roman"/>
                <w:i/>
                <w:iCs/>
                <w:sz w:val="18"/>
                <w:szCs w:val="20"/>
                <w:lang w:eastAsia="en-GB"/>
              </w:rPr>
              <w:t>Div</w:t>
            </w:r>
            <w:proofErr w:type="spellEnd"/>
            <w:r>
              <w:rPr>
                <w:rFonts w:ascii="Times New Roman" w:eastAsia="Times New Roman" w:hAnsi="Times New Roman" w:cs="Times New Roman"/>
                <w:i/>
                <w:iCs/>
                <w:sz w:val="18"/>
                <w:szCs w:val="20"/>
                <w:lang w:eastAsia="en-GB"/>
              </w:rPr>
              <w:t xml:space="preserve">/TA = Dividends related to the period to total assets. RE/TE = retained earnings to total equity; Log Age = natural logarithm of firm's age; FCF/TA = free cash flow to total assets; LC-Index = life-cycle index; ROA = return on assets; M/B = market value of equity to its book value; Size =  firm market capitalization to total market capitalization;  Cash/TA = cash holding to total assets; Debt/TA = long term debt to total assets; Largest SH = the percent of shares of the largest shareholder; HHI </w:t>
            </w:r>
            <w:proofErr w:type="spellStart"/>
            <w:r>
              <w:rPr>
                <w:rFonts w:ascii="Times New Roman" w:eastAsia="Times New Roman" w:hAnsi="Times New Roman" w:cs="Times New Roman"/>
                <w:i/>
                <w:iCs/>
                <w:sz w:val="18"/>
                <w:szCs w:val="20"/>
                <w:lang w:eastAsia="en-GB"/>
              </w:rPr>
              <w:t>Inds</w:t>
            </w:r>
            <w:proofErr w:type="spellEnd"/>
            <w:r>
              <w:rPr>
                <w:rFonts w:ascii="Times New Roman" w:eastAsia="Times New Roman" w:hAnsi="Times New Roman" w:cs="Times New Roman"/>
                <w:i/>
                <w:iCs/>
                <w:sz w:val="18"/>
                <w:szCs w:val="20"/>
                <w:lang w:eastAsia="en-GB"/>
              </w:rPr>
              <w:t xml:space="preserve">.=HHI of total assets industry k. Instruments used are lagged 2 to lagged 5. </w:t>
            </w:r>
          </w:p>
        </w:tc>
      </w:tr>
    </w:tbl>
    <w:p w:rsidR="00B66B38" w:rsidRDefault="00B66B38" w:rsidP="00B66B38">
      <w:pPr>
        <w:spacing w:after="0"/>
        <w:rPr>
          <w:rFonts w:ascii="Times New Roman" w:eastAsia="MS Mincho" w:hAnsi="Times New Roman" w:cs="Times New Roman"/>
          <w:szCs w:val="24"/>
        </w:rPr>
        <w:sectPr w:rsidR="00B66B38">
          <w:pgSz w:w="11906" w:h="16838"/>
          <w:pgMar w:top="1440" w:right="1440" w:bottom="1440" w:left="1440" w:header="708" w:footer="708" w:gutter="0"/>
          <w:cols w:space="720"/>
        </w:sectPr>
      </w:pPr>
    </w:p>
    <w:p w:rsidR="00B66B38" w:rsidRDefault="00B66B38" w:rsidP="00B66B38">
      <w:pPr>
        <w:widowControl w:val="0"/>
        <w:autoSpaceDE w:val="0"/>
        <w:autoSpaceDN w:val="0"/>
        <w:adjustRightInd w:val="0"/>
        <w:spacing w:after="0"/>
        <w:rPr>
          <w:rFonts w:ascii="Times New Roman" w:eastAsia="MS Mincho" w:hAnsi="Times New Roman" w:cs="Times New Roman"/>
          <w:szCs w:val="24"/>
        </w:rPr>
      </w:pPr>
    </w:p>
    <w:p w:rsidR="00B66B38" w:rsidRDefault="00B66B38" w:rsidP="00B66B38">
      <w:pPr>
        <w:tabs>
          <w:tab w:val="left" w:pos="3780"/>
        </w:tabs>
        <w:rPr>
          <w:rFonts w:ascii="Times New Roman" w:hAnsi="Times New Roman" w:cs="Times New Roman"/>
          <w:b/>
          <w:sz w:val="20"/>
        </w:rPr>
      </w:pPr>
      <w:r>
        <w:rPr>
          <w:rFonts w:ascii="Times New Roman" w:hAnsi="Times New Roman" w:cs="Times New Roman"/>
          <w:b/>
          <w:sz w:val="20"/>
        </w:rPr>
        <w:t>APPENDIX</w:t>
      </w:r>
    </w:p>
    <w:tbl>
      <w:tblPr>
        <w:tblW w:w="15990" w:type="dxa"/>
        <w:jc w:val="center"/>
        <w:tblLayout w:type="fixed"/>
        <w:tblCellMar>
          <w:left w:w="70" w:type="dxa"/>
          <w:right w:w="70" w:type="dxa"/>
        </w:tblCellMar>
        <w:tblLook w:val="04A0" w:firstRow="1" w:lastRow="0" w:firstColumn="1" w:lastColumn="0" w:noHBand="0" w:noVBand="1"/>
      </w:tblPr>
      <w:tblGrid>
        <w:gridCol w:w="596"/>
        <w:gridCol w:w="1387"/>
        <w:gridCol w:w="935"/>
        <w:gridCol w:w="934"/>
        <w:gridCol w:w="935"/>
        <w:gridCol w:w="933"/>
        <w:gridCol w:w="934"/>
        <w:gridCol w:w="934"/>
        <w:gridCol w:w="933"/>
        <w:gridCol w:w="934"/>
        <w:gridCol w:w="933"/>
        <w:gridCol w:w="934"/>
        <w:gridCol w:w="934"/>
        <w:gridCol w:w="933"/>
        <w:gridCol w:w="934"/>
        <w:gridCol w:w="933"/>
        <w:gridCol w:w="934"/>
      </w:tblGrid>
      <w:tr w:rsidR="00B66B38" w:rsidTr="00B66B38">
        <w:trPr>
          <w:trHeight w:val="290"/>
          <w:jc w:val="center"/>
        </w:trPr>
        <w:tc>
          <w:tcPr>
            <w:tcW w:w="15984" w:type="dxa"/>
            <w:gridSpan w:val="17"/>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Table A1. </w:t>
            </w:r>
            <w:proofErr w:type="spellStart"/>
            <w:r>
              <w:rPr>
                <w:rFonts w:ascii="Times New Roman" w:hAnsi="Times New Roman" w:cs="Times New Roman"/>
                <w:sz w:val="20"/>
                <w:lang w:val="fr-FR"/>
              </w:rPr>
              <w:t>Correlation</w:t>
            </w:r>
            <w:proofErr w:type="spellEnd"/>
            <w:r>
              <w:rPr>
                <w:rFonts w:ascii="Times New Roman" w:hAnsi="Times New Roman" w:cs="Times New Roman"/>
                <w:sz w:val="20"/>
                <w:lang w:val="fr-FR"/>
              </w:rPr>
              <w:t xml:space="preserve"> matrix</w:t>
            </w:r>
          </w:p>
        </w:tc>
      </w:tr>
      <w:tr w:rsidR="00B66B38" w:rsidTr="00B66B38">
        <w:trPr>
          <w:trHeight w:val="290"/>
          <w:jc w:val="center"/>
        </w:trPr>
        <w:tc>
          <w:tcPr>
            <w:tcW w:w="1980" w:type="dxa"/>
            <w:gridSpan w:val="2"/>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Variables</w:t>
            </w:r>
          </w:p>
        </w:tc>
        <w:tc>
          <w:tcPr>
            <w:tcW w:w="934" w:type="dxa"/>
            <w:tcBorders>
              <w:top w:val="single" w:sz="6" w:space="0" w:color="auto"/>
              <w:left w:val="nil"/>
              <w:bottom w:val="nil"/>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w:t>
            </w:r>
          </w:p>
        </w:tc>
        <w:tc>
          <w:tcPr>
            <w:tcW w:w="93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2</w:t>
            </w:r>
          </w:p>
        </w:tc>
        <w:tc>
          <w:tcPr>
            <w:tcW w:w="934"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3</w:t>
            </w:r>
          </w:p>
        </w:tc>
        <w:tc>
          <w:tcPr>
            <w:tcW w:w="93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w:t>
            </w:r>
          </w:p>
        </w:tc>
        <w:tc>
          <w:tcPr>
            <w:tcW w:w="934"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w:t>
            </w:r>
          </w:p>
        </w:tc>
        <w:tc>
          <w:tcPr>
            <w:tcW w:w="934"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w:t>
            </w:r>
          </w:p>
        </w:tc>
        <w:tc>
          <w:tcPr>
            <w:tcW w:w="93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w:t>
            </w:r>
          </w:p>
        </w:tc>
        <w:tc>
          <w:tcPr>
            <w:tcW w:w="934"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8</w:t>
            </w:r>
          </w:p>
        </w:tc>
        <w:tc>
          <w:tcPr>
            <w:tcW w:w="93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9</w:t>
            </w:r>
          </w:p>
        </w:tc>
        <w:tc>
          <w:tcPr>
            <w:tcW w:w="934"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10</w:t>
            </w:r>
          </w:p>
        </w:tc>
        <w:tc>
          <w:tcPr>
            <w:tcW w:w="934"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11</w:t>
            </w:r>
          </w:p>
        </w:tc>
        <w:tc>
          <w:tcPr>
            <w:tcW w:w="93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12</w:t>
            </w:r>
          </w:p>
        </w:tc>
        <w:tc>
          <w:tcPr>
            <w:tcW w:w="934"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13</w:t>
            </w:r>
          </w:p>
        </w:tc>
        <w:tc>
          <w:tcPr>
            <w:tcW w:w="93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14</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15</w:t>
            </w:r>
          </w:p>
        </w:tc>
      </w:tr>
      <w:tr w:rsidR="00B66B38" w:rsidTr="00B66B38">
        <w:trPr>
          <w:trHeight w:val="290"/>
          <w:jc w:val="center"/>
        </w:trPr>
        <w:tc>
          <w:tcPr>
            <w:tcW w:w="595" w:type="dxa"/>
            <w:tcBorders>
              <w:top w:val="single" w:sz="6" w:space="0" w:color="auto"/>
              <w:left w:val="nil"/>
              <w:bottom w:val="nil"/>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w:t>
            </w:r>
          </w:p>
        </w:tc>
        <w:tc>
          <w:tcPr>
            <w:tcW w:w="1385" w:type="dxa"/>
            <w:tcBorders>
              <w:top w:val="single" w:sz="6" w:space="0" w:color="auto"/>
              <w:left w:val="nil"/>
              <w:bottom w:val="nil"/>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DDIV</w:t>
            </w:r>
          </w:p>
        </w:tc>
        <w:tc>
          <w:tcPr>
            <w:tcW w:w="934" w:type="dxa"/>
            <w:tcBorders>
              <w:top w:val="single" w:sz="6" w:space="0" w:color="auto"/>
              <w:left w:val="nil"/>
              <w:bottom w:val="nil"/>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3"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tcBorders>
              <w:top w:val="single" w:sz="6" w:space="0" w:color="auto"/>
              <w:left w:val="nil"/>
              <w:bottom w:val="nil"/>
              <w:right w:val="nil"/>
            </w:tcBorders>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2</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RE/TE</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0.0044</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3</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Age</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0.0648*</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0.118*</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FCF/TA</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0.261*</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0.293*</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0.483*</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LC-Index</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0.138*</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0.0873*</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0.154*</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0.138*</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ROA</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-0.235*</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0.0208</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0.0827*</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-0.201*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0.139*</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M/B</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0.118*</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0.0101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0.250*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0.139*</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0.119*</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0.0615*</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8</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Cash/TA</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0.0637*</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0.0464*</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0.105*</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0.0124</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0.0667*</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0.181*</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0.0295</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9</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Size (%)</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-0.184*</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-0.0094</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-0.200*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-0.201*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-0.142*</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-0.0112</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-0.255*</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0.0494*</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10</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Debt</w:t>
            </w:r>
            <w:proofErr w:type="spellEnd"/>
            <w:r>
              <w:rPr>
                <w:rFonts w:ascii="Times New Roman" w:hAnsi="Times New Roman" w:cs="Times New Roman"/>
                <w:sz w:val="20"/>
                <w:lang w:val="fr-FR"/>
              </w:rPr>
              <w:t>/TA</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0.0598*</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0.110*</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0.0778*</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0.0557*</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0.0397*</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0.0950*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0.0298</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0.0480*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-0.062*</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11</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Largest</w:t>
            </w:r>
            <w:proofErr w:type="spellEnd"/>
            <w:r>
              <w:rPr>
                <w:rFonts w:ascii="Times New Roman" w:hAnsi="Times New Roman" w:cs="Times New Roman"/>
                <w:sz w:val="20"/>
                <w:lang w:val="fr-FR"/>
              </w:rPr>
              <w:t xml:space="preserve"> SH</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0.0444*</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0.0751*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0.0610*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0.0499*</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0.0334</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0.107*</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0.0142</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0.0230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-0.0316</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0.784*</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19"/>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12</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Corporate</w:t>
            </w:r>
            <w:proofErr w:type="spellEnd"/>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0.0608*</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0.0805*</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0.0440*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0.0142</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0.0278</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0.0879*</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0.0602*</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0.0675*</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-0.0267</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0.673*</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0.822*</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13</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State</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0.0604*</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0.0671*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0.126*</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0.0131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0.0436*</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0.0411*</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0.125*</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0.282*</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-0.090*</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0.124*</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-0.154*</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-0.051*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290"/>
          <w:jc w:val="center"/>
        </w:trPr>
        <w:tc>
          <w:tcPr>
            <w:tcW w:w="595"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14</w:t>
            </w:r>
          </w:p>
        </w:tc>
        <w:tc>
          <w:tcPr>
            <w:tcW w:w="138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Insider</w:t>
            </w:r>
            <w:proofErr w:type="spellEnd"/>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0.0330</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0.0148</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0.0465*</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0.0817*</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0.0151</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0.0085</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0.0487*</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0.0152</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-0.045*</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0.0860*</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-0.038*</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-0.0155</w:t>
            </w:r>
          </w:p>
        </w:tc>
        <w:tc>
          <w:tcPr>
            <w:tcW w:w="93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0.0385*</w:t>
            </w:r>
          </w:p>
        </w:tc>
        <w:tc>
          <w:tcPr>
            <w:tcW w:w="933"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sz w:val="20"/>
                <w:lang w:val="fr-FR"/>
              </w:rPr>
            </w:pPr>
          </w:p>
        </w:tc>
      </w:tr>
      <w:tr w:rsidR="00B66B38" w:rsidTr="00B66B38">
        <w:trPr>
          <w:trHeight w:val="319"/>
          <w:jc w:val="center"/>
        </w:trPr>
        <w:tc>
          <w:tcPr>
            <w:tcW w:w="595"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15</w:t>
            </w:r>
          </w:p>
        </w:tc>
        <w:tc>
          <w:tcPr>
            <w:tcW w:w="1385"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Individual</w:t>
            </w:r>
            <w:proofErr w:type="spellEnd"/>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0.0255</w:t>
            </w:r>
          </w:p>
        </w:tc>
        <w:tc>
          <w:tcPr>
            <w:tcW w:w="93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0.0239</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0.0201</w:t>
            </w:r>
          </w:p>
        </w:tc>
        <w:tc>
          <w:tcPr>
            <w:tcW w:w="93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0.0115</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0.0063</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0.0195</w:t>
            </w:r>
          </w:p>
        </w:tc>
        <w:tc>
          <w:tcPr>
            <w:tcW w:w="93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-0.0014</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-0.0041</w:t>
            </w:r>
          </w:p>
        </w:tc>
        <w:tc>
          <w:tcPr>
            <w:tcW w:w="93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-0.0233</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0.113*</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-0.0201</w:t>
            </w:r>
          </w:p>
        </w:tc>
        <w:tc>
          <w:tcPr>
            <w:tcW w:w="93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-0.0065</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-0.0175</w:t>
            </w:r>
          </w:p>
        </w:tc>
        <w:tc>
          <w:tcPr>
            <w:tcW w:w="93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0.291*</w:t>
            </w:r>
          </w:p>
        </w:tc>
        <w:tc>
          <w:tcPr>
            <w:tcW w:w="93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w:t>
            </w:r>
          </w:p>
        </w:tc>
      </w:tr>
      <w:tr w:rsidR="00B66B38" w:rsidTr="00B66B38">
        <w:trPr>
          <w:trHeight w:val="290"/>
          <w:jc w:val="center"/>
        </w:trPr>
        <w:tc>
          <w:tcPr>
            <w:tcW w:w="15984" w:type="dxa"/>
            <w:gridSpan w:val="17"/>
            <w:tcBorders>
              <w:top w:val="single" w:sz="6" w:space="0" w:color="auto"/>
              <w:left w:val="nil"/>
              <w:bottom w:val="nil"/>
              <w:right w:val="nil"/>
            </w:tcBorders>
            <w:shd w:val="solid" w:color="FFFFFF" w:fill="auto"/>
            <w:hideMark/>
          </w:tcPr>
          <w:p w:rsidR="00B66B38" w:rsidRDefault="00B66B38">
            <w:pPr>
              <w:autoSpaceDE w:val="0"/>
              <w:autoSpaceDN w:val="0"/>
              <w:adjustRightInd w:val="0"/>
              <w:spacing w:after="0"/>
              <w:jc w:val="both"/>
              <w:rPr>
                <w:rFonts w:ascii="Times New Roman" w:hAnsi="Times New Roman" w:cs="Times New Roman"/>
                <w:i/>
                <w:iCs/>
                <w:sz w:val="18"/>
                <w:szCs w:val="20"/>
              </w:rPr>
            </w:pPr>
            <w:r>
              <w:rPr>
                <w:rFonts w:ascii="Times New Roman" w:hAnsi="Times New Roman" w:cs="Times New Roman"/>
                <w:i/>
                <w:iCs/>
                <w:sz w:val="18"/>
                <w:szCs w:val="20"/>
              </w:rPr>
              <w:t xml:space="preserve">DDIV = dummy variable equals one if the firm pays a dividend and zero otherwise. RE/TE = retained earnings to total equity; Age = firm's age; FCF/TA = free cash flow to total assets; LC-Index = life-cycle index; ROA = return on assets; M/B = market value of equity to its book value; Size =  firm’s market capitalization to total market capitalization;  Debt/TA = long term debts to total assets; Cash/TA = cash holdings to total assets; Largest SH = the percentage of shares of the largest shareholder; Corporate, State, Insider, and individual are dummy variables equal one if the controlling shareholder (ownership &gt;50%) is institution, state, insider, and individual respectively. *p&lt;0.05. </w:t>
            </w:r>
          </w:p>
        </w:tc>
      </w:tr>
      <w:tr w:rsidR="00B66B38" w:rsidTr="00B66B38">
        <w:trPr>
          <w:trHeight w:val="305"/>
          <w:jc w:val="center"/>
        </w:trPr>
        <w:tc>
          <w:tcPr>
            <w:tcW w:w="595"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1385"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r>
      <w:tr w:rsidR="00B66B38" w:rsidTr="00B66B38">
        <w:trPr>
          <w:trHeight w:val="305"/>
          <w:jc w:val="center"/>
        </w:trPr>
        <w:tc>
          <w:tcPr>
            <w:tcW w:w="595"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1385"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r>
      <w:tr w:rsidR="00B66B38" w:rsidTr="00B66B38">
        <w:trPr>
          <w:trHeight w:val="290"/>
          <w:jc w:val="center"/>
        </w:trPr>
        <w:tc>
          <w:tcPr>
            <w:tcW w:w="595"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1385"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3"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c>
          <w:tcPr>
            <w:tcW w:w="934" w:type="dxa"/>
            <w:shd w:val="solid" w:color="FFFFFF" w:fill="auto"/>
          </w:tcPr>
          <w:p w:rsidR="00B66B38" w:rsidRDefault="00B66B38">
            <w:pPr>
              <w:autoSpaceDE w:val="0"/>
              <w:autoSpaceDN w:val="0"/>
              <w:adjustRightInd w:val="0"/>
              <w:spacing w:after="0"/>
              <w:rPr>
                <w:rFonts w:ascii="Times New Roman" w:hAnsi="Times New Roman" w:cs="Times New Roman"/>
                <w:i/>
                <w:iCs/>
                <w:sz w:val="18"/>
                <w:szCs w:val="20"/>
              </w:rPr>
            </w:pPr>
          </w:p>
        </w:tc>
      </w:tr>
    </w:tbl>
    <w:p w:rsidR="00B66B38" w:rsidRDefault="00B66B38" w:rsidP="00B66B38">
      <w:pPr>
        <w:spacing w:after="0"/>
        <w:rPr>
          <w:rFonts w:ascii="Times New Roman" w:hAnsi="Times New Roman" w:cs="Times New Roman"/>
          <w:sz w:val="20"/>
        </w:rPr>
        <w:sectPr w:rsidR="00B66B38">
          <w:pgSz w:w="16838" w:h="11906" w:orient="landscape"/>
          <w:pgMar w:top="1440" w:right="1440" w:bottom="1440" w:left="1440" w:header="708" w:footer="708" w:gutter="0"/>
          <w:cols w:space="720"/>
        </w:sectPr>
      </w:pPr>
    </w:p>
    <w:tbl>
      <w:tblPr>
        <w:tblW w:w="0" w:type="auto"/>
        <w:tblInd w:w="-30" w:type="dxa"/>
        <w:tblLayout w:type="fixed"/>
        <w:tblCellMar>
          <w:left w:w="70" w:type="dxa"/>
          <w:right w:w="70" w:type="dxa"/>
        </w:tblCellMar>
        <w:tblLook w:val="04A0" w:firstRow="1" w:lastRow="0" w:firstColumn="1" w:lastColumn="0" w:noHBand="0" w:noVBand="1"/>
      </w:tblPr>
      <w:tblGrid>
        <w:gridCol w:w="773"/>
        <w:gridCol w:w="5124"/>
        <w:gridCol w:w="2095"/>
      </w:tblGrid>
      <w:tr w:rsidR="00B66B38" w:rsidTr="00B66B38">
        <w:trPr>
          <w:trHeight w:val="290"/>
        </w:trPr>
        <w:tc>
          <w:tcPr>
            <w:tcW w:w="5897" w:type="dxa"/>
            <w:gridSpan w:val="2"/>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rPr>
            </w:pPr>
            <w:r>
              <w:rPr>
                <w:rFonts w:ascii="Times New Roman" w:hAnsi="Times New Roman" w:cs="Times New Roman"/>
                <w:sz w:val="20"/>
              </w:rPr>
              <w:lastRenderedPageBreak/>
              <w:t>Table A2. Marginal effect of the industry fixed effects</w:t>
            </w:r>
          </w:p>
        </w:tc>
        <w:tc>
          <w:tcPr>
            <w:tcW w:w="2095" w:type="dxa"/>
            <w:tcBorders>
              <w:top w:val="nil"/>
              <w:left w:val="nil"/>
              <w:bottom w:val="single" w:sz="6" w:space="0" w:color="auto"/>
              <w:right w:val="nil"/>
            </w:tcBorders>
            <w:shd w:val="solid" w:color="FFFFFF" w:fill="auto"/>
          </w:tcPr>
          <w:p w:rsidR="00B66B38" w:rsidRDefault="00B66B38">
            <w:pPr>
              <w:autoSpaceDE w:val="0"/>
              <w:autoSpaceDN w:val="0"/>
              <w:adjustRightInd w:val="0"/>
              <w:spacing w:after="0"/>
              <w:jc w:val="right"/>
              <w:rPr>
                <w:rFonts w:ascii="Times New Roman" w:hAnsi="Times New Roman" w:cs="Times New Roman"/>
                <w:sz w:val="20"/>
              </w:rPr>
            </w:pPr>
          </w:p>
        </w:tc>
      </w:tr>
      <w:tr w:rsidR="00B66B38" w:rsidTr="00B66B38">
        <w:trPr>
          <w:trHeight w:val="290"/>
        </w:trPr>
        <w:tc>
          <w:tcPr>
            <w:tcW w:w="773" w:type="dxa"/>
            <w:shd w:val="solid" w:color="FFFFFF" w:fill="auto"/>
          </w:tcPr>
          <w:p w:rsidR="00B66B38" w:rsidRDefault="00B66B38">
            <w:pPr>
              <w:autoSpaceDE w:val="0"/>
              <w:autoSpaceDN w:val="0"/>
              <w:adjustRightInd w:val="0"/>
              <w:spacing w:after="0"/>
              <w:jc w:val="right"/>
              <w:rPr>
                <w:rFonts w:ascii="Times New Roman" w:hAnsi="Times New Roman" w:cs="Times New Roman"/>
                <w:sz w:val="20"/>
              </w:rPr>
            </w:pPr>
          </w:p>
        </w:tc>
        <w:tc>
          <w:tcPr>
            <w:tcW w:w="5124" w:type="dxa"/>
            <w:shd w:val="solid" w:color="FFFFFF" w:fill="auto"/>
          </w:tcPr>
          <w:p w:rsidR="00B66B38" w:rsidRDefault="00B66B38">
            <w:pPr>
              <w:autoSpaceDE w:val="0"/>
              <w:autoSpaceDN w:val="0"/>
              <w:adjustRightInd w:val="0"/>
              <w:spacing w:after="0"/>
              <w:jc w:val="right"/>
              <w:rPr>
                <w:rFonts w:ascii="Times New Roman" w:hAnsi="Times New Roman" w:cs="Times New Roman"/>
                <w:sz w:val="20"/>
              </w:rPr>
            </w:pP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Margin</w:t>
            </w:r>
            <w:proofErr w:type="spellEnd"/>
          </w:p>
        </w:tc>
      </w:tr>
      <w:tr w:rsidR="00B66B38" w:rsidTr="00B66B38">
        <w:trPr>
          <w:trHeight w:val="290"/>
        </w:trPr>
        <w:tc>
          <w:tcPr>
            <w:tcW w:w="77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No.</w:t>
            </w:r>
          </w:p>
        </w:tc>
        <w:tc>
          <w:tcPr>
            <w:tcW w:w="512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Industry</w:t>
            </w:r>
            <w:proofErr w:type="spellEnd"/>
          </w:p>
        </w:tc>
        <w:tc>
          <w:tcPr>
            <w:tcW w:w="2095"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dy</w:t>
            </w:r>
            <w:proofErr w:type="spellEnd"/>
            <w:r>
              <w:rPr>
                <w:rFonts w:ascii="Times New Roman" w:hAnsi="Times New Roman" w:cs="Times New Roman"/>
                <w:sz w:val="20"/>
                <w:lang w:val="fr-FR"/>
              </w:rPr>
              <w:t>/dx</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Automobiles &amp; Components (</w:t>
            </w:r>
            <w:proofErr w:type="spellStart"/>
            <w:r>
              <w:rPr>
                <w:rFonts w:ascii="Times New Roman" w:hAnsi="Times New Roman" w:cs="Times New Roman"/>
                <w:sz w:val="20"/>
                <w:lang w:val="fr-FR"/>
              </w:rPr>
              <w:t>reference</w:t>
            </w:r>
            <w:proofErr w:type="spellEnd"/>
            <w:r>
              <w:rPr>
                <w:rFonts w:ascii="Times New Roman" w:hAnsi="Times New Roman" w:cs="Times New Roman"/>
                <w:sz w:val="20"/>
                <w:lang w:val="fr-FR"/>
              </w:rPr>
              <w:t xml:space="preserve"> </w:t>
            </w:r>
            <w:proofErr w:type="spellStart"/>
            <w:r>
              <w:rPr>
                <w:rFonts w:ascii="Times New Roman" w:hAnsi="Times New Roman" w:cs="Times New Roman"/>
                <w:sz w:val="20"/>
                <w:lang w:val="fr-FR"/>
              </w:rPr>
              <w:t>dummy</w:t>
            </w:r>
            <w:proofErr w:type="spellEnd"/>
            <w:r>
              <w:rPr>
                <w:rFonts w:ascii="Times New Roman" w:hAnsi="Times New Roman" w:cs="Times New Roman"/>
                <w:sz w:val="20"/>
                <w:lang w:val="fr-FR"/>
              </w:rPr>
              <w:t>)</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2.819***</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2</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Capital </w:t>
            </w:r>
            <w:proofErr w:type="spellStart"/>
            <w:r>
              <w:rPr>
                <w:rFonts w:ascii="Times New Roman" w:hAnsi="Times New Roman" w:cs="Times New Roman"/>
                <w:sz w:val="20"/>
                <w:lang w:val="fr-FR"/>
              </w:rPr>
              <w:t>Goods</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-0.423</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3</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Commercial &amp; Professional Services</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-0.157</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4</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Consumer Durables &amp; </w:t>
            </w:r>
            <w:proofErr w:type="spellStart"/>
            <w:r>
              <w:rPr>
                <w:rFonts w:ascii="Times New Roman" w:hAnsi="Times New Roman" w:cs="Times New Roman"/>
                <w:sz w:val="20"/>
                <w:lang w:val="fr-FR"/>
              </w:rPr>
              <w:t>Apparel</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-0.757*</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5</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Consumer Services</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-0.851*</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6</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Energy</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-0.618</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7</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Food &amp; </w:t>
            </w:r>
            <w:proofErr w:type="spellStart"/>
            <w:r>
              <w:rPr>
                <w:rFonts w:ascii="Times New Roman" w:hAnsi="Times New Roman" w:cs="Times New Roman"/>
                <w:sz w:val="20"/>
                <w:lang w:val="fr-FR"/>
              </w:rPr>
              <w:t>Staples</w:t>
            </w:r>
            <w:proofErr w:type="spellEnd"/>
            <w:r>
              <w:rPr>
                <w:rFonts w:ascii="Times New Roman" w:hAnsi="Times New Roman" w:cs="Times New Roman"/>
                <w:sz w:val="20"/>
                <w:lang w:val="fr-FR"/>
              </w:rPr>
              <w:t xml:space="preserve"> </w:t>
            </w:r>
            <w:proofErr w:type="spellStart"/>
            <w:r>
              <w:rPr>
                <w:rFonts w:ascii="Times New Roman" w:hAnsi="Times New Roman" w:cs="Times New Roman"/>
                <w:sz w:val="20"/>
                <w:lang w:val="fr-FR"/>
              </w:rPr>
              <w:t>Retailing</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-0.708</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8</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Food, </w:t>
            </w:r>
            <w:proofErr w:type="spellStart"/>
            <w:r>
              <w:rPr>
                <w:rFonts w:ascii="Times New Roman" w:hAnsi="Times New Roman" w:cs="Times New Roman"/>
                <w:sz w:val="20"/>
                <w:lang w:val="fr-FR"/>
              </w:rPr>
              <w:t>Beverages</w:t>
            </w:r>
            <w:proofErr w:type="spellEnd"/>
            <w:r>
              <w:rPr>
                <w:rFonts w:ascii="Times New Roman" w:hAnsi="Times New Roman" w:cs="Times New Roman"/>
                <w:sz w:val="20"/>
                <w:lang w:val="fr-FR"/>
              </w:rPr>
              <w:t xml:space="preserve"> &amp; Tobacco</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-0.486</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9</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Health</w:t>
            </w:r>
            <w:proofErr w:type="spellEnd"/>
            <w:r>
              <w:rPr>
                <w:rFonts w:ascii="Times New Roman" w:hAnsi="Times New Roman" w:cs="Times New Roman"/>
                <w:sz w:val="20"/>
                <w:lang w:val="fr-FR"/>
              </w:rPr>
              <w:t xml:space="preserve"> Care Equipment &amp; Services</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-1.558</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10</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Household</w:t>
            </w:r>
            <w:proofErr w:type="spellEnd"/>
            <w:r>
              <w:rPr>
                <w:rFonts w:ascii="Times New Roman" w:hAnsi="Times New Roman" w:cs="Times New Roman"/>
                <w:sz w:val="20"/>
                <w:lang w:val="fr-FR"/>
              </w:rPr>
              <w:t xml:space="preserve"> &amp; </w:t>
            </w:r>
            <w:proofErr w:type="spellStart"/>
            <w:r>
              <w:rPr>
                <w:rFonts w:ascii="Times New Roman" w:hAnsi="Times New Roman" w:cs="Times New Roman"/>
                <w:sz w:val="20"/>
                <w:lang w:val="fr-FR"/>
              </w:rPr>
              <w:t>Personal</w:t>
            </w:r>
            <w:proofErr w:type="spellEnd"/>
            <w:r>
              <w:rPr>
                <w:rFonts w:ascii="Times New Roman" w:hAnsi="Times New Roman" w:cs="Times New Roman"/>
                <w:sz w:val="20"/>
                <w:lang w:val="fr-FR"/>
              </w:rPr>
              <w:t xml:space="preserve"> </w:t>
            </w:r>
            <w:proofErr w:type="spellStart"/>
            <w:r>
              <w:rPr>
                <w:rFonts w:ascii="Times New Roman" w:hAnsi="Times New Roman" w:cs="Times New Roman"/>
                <w:sz w:val="20"/>
                <w:lang w:val="fr-FR"/>
              </w:rPr>
              <w:t>Products</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8.225***</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11</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Materials</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-0.909**</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12</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Media</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-0.979</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13</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Pharmaceuticals, </w:t>
            </w:r>
            <w:proofErr w:type="spellStart"/>
            <w:r>
              <w:rPr>
                <w:rFonts w:ascii="Times New Roman" w:hAnsi="Times New Roman" w:cs="Times New Roman"/>
                <w:sz w:val="20"/>
                <w:lang w:val="fr-FR"/>
              </w:rPr>
              <w:t>Biotechnology</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-0.463</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14</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xml:space="preserve">Real </w:t>
            </w:r>
            <w:proofErr w:type="spellStart"/>
            <w:r>
              <w:rPr>
                <w:rFonts w:ascii="Times New Roman" w:hAnsi="Times New Roman" w:cs="Times New Roman"/>
                <w:sz w:val="20"/>
                <w:lang w:val="fr-FR"/>
              </w:rPr>
              <w:t>Estate</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-1.234***</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15</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Retailing</w:t>
            </w:r>
            <w:proofErr w:type="spellEnd"/>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-0.411</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16</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Software &amp; Services</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-2.687***</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17</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Technology</w:t>
            </w:r>
            <w:proofErr w:type="spellEnd"/>
            <w:r>
              <w:rPr>
                <w:rFonts w:ascii="Times New Roman" w:hAnsi="Times New Roman" w:cs="Times New Roman"/>
                <w:sz w:val="20"/>
                <w:lang w:val="fr-FR"/>
              </w:rPr>
              <w:t xml:space="preserve"> Hardware &amp; Equipment</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-2.362***</w:t>
            </w:r>
          </w:p>
        </w:tc>
      </w:tr>
      <w:tr w:rsidR="00B66B38" w:rsidTr="00B66B38">
        <w:trPr>
          <w:trHeight w:val="290"/>
        </w:trPr>
        <w:tc>
          <w:tcPr>
            <w:tcW w:w="773" w:type="dxa"/>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18</w:t>
            </w:r>
          </w:p>
        </w:tc>
        <w:tc>
          <w:tcPr>
            <w:tcW w:w="5124"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proofErr w:type="spellStart"/>
            <w:r>
              <w:rPr>
                <w:rFonts w:ascii="Times New Roman" w:hAnsi="Times New Roman" w:cs="Times New Roman"/>
                <w:sz w:val="20"/>
                <w:lang w:val="fr-FR"/>
              </w:rPr>
              <w:t>Telecommunications</w:t>
            </w:r>
            <w:proofErr w:type="spellEnd"/>
            <w:r>
              <w:rPr>
                <w:rFonts w:ascii="Times New Roman" w:hAnsi="Times New Roman" w:cs="Times New Roman"/>
                <w:sz w:val="20"/>
                <w:lang w:val="fr-FR"/>
              </w:rPr>
              <w:t xml:space="preserve"> Services</w:t>
            </w:r>
          </w:p>
        </w:tc>
        <w:tc>
          <w:tcPr>
            <w:tcW w:w="2095" w:type="dxa"/>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-0.696</w:t>
            </w:r>
          </w:p>
        </w:tc>
      </w:tr>
      <w:tr w:rsidR="00B66B38" w:rsidTr="00B66B38">
        <w:trPr>
          <w:trHeight w:val="290"/>
        </w:trPr>
        <w:tc>
          <w:tcPr>
            <w:tcW w:w="773"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jc w:val="center"/>
              <w:rPr>
                <w:rFonts w:ascii="Times New Roman" w:hAnsi="Times New Roman" w:cs="Times New Roman"/>
                <w:sz w:val="20"/>
                <w:lang w:val="fr-FR"/>
              </w:rPr>
            </w:pPr>
            <w:r>
              <w:rPr>
                <w:rFonts w:ascii="Times New Roman" w:hAnsi="Times New Roman" w:cs="Times New Roman"/>
                <w:sz w:val="20"/>
                <w:lang w:val="fr-FR"/>
              </w:rPr>
              <w:t>19</w:t>
            </w:r>
          </w:p>
        </w:tc>
        <w:tc>
          <w:tcPr>
            <w:tcW w:w="5124"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Transportation</w:t>
            </w:r>
          </w:p>
        </w:tc>
        <w:tc>
          <w:tcPr>
            <w:tcW w:w="2095" w:type="dxa"/>
            <w:tcBorders>
              <w:top w:val="nil"/>
              <w:left w:val="nil"/>
              <w:bottom w:val="single" w:sz="6" w:space="0" w:color="auto"/>
              <w:right w:val="nil"/>
            </w:tcBorders>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-0.182</w:t>
            </w:r>
          </w:p>
        </w:tc>
      </w:tr>
      <w:tr w:rsidR="00B66B38" w:rsidTr="00B66B38">
        <w:trPr>
          <w:trHeight w:val="290"/>
        </w:trPr>
        <w:tc>
          <w:tcPr>
            <w:tcW w:w="5897" w:type="dxa"/>
            <w:gridSpan w:val="2"/>
            <w:shd w:val="solid" w:color="FFFFFF" w:fill="auto"/>
            <w:hideMark/>
          </w:tcPr>
          <w:p w:rsidR="00B66B38" w:rsidRDefault="00B66B38">
            <w:pPr>
              <w:autoSpaceDE w:val="0"/>
              <w:autoSpaceDN w:val="0"/>
              <w:adjustRightInd w:val="0"/>
              <w:spacing w:after="0"/>
              <w:rPr>
                <w:rFonts w:ascii="Times New Roman" w:hAnsi="Times New Roman" w:cs="Times New Roman"/>
                <w:sz w:val="20"/>
                <w:lang w:val="fr-FR"/>
              </w:rPr>
            </w:pPr>
            <w:r>
              <w:rPr>
                <w:rFonts w:ascii="Times New Roman" w:hAnsi="Times New Roman" w:cs="Times New Roman"/>
                <w:sz w:val="20"/>
                <w:lang w:val="fr-FR"/>
              </w:rPr>
              <w:t>* &lt; 10%, ** &lt; 5%, *** &lt; 1%</w:t>
            </w:r>
          </w:p>
        </w:tc>
        <w:tc>
          <w:tcPr>
            <w:tcW w:w="2095" w:type="dxa"/>
            <w:shd w:val="solid" w:color="FFFFFF" w:fill="auto"/>
          </w:tcPr>
          <w:p w:rsidR="00B66B38" w:rsidRDefault="00B66B38">
            <w:pPr>
              <w:autoSpaceDE w:val="0"/>
              <w:autoSpaceDN w:val="0"/>
              <w:adjustRightInd w:val="0"/>
              <w:spacing w:after="0"/>
              <w:jc w:val="right"/>
              <w:rPr>
                <w:rFonts w:ascii="Times New Roman" w:hAnsi="Times New Roman" w:cs="Times New Roman"/>
                <w:sz w:val="20"/>
                <w:lang w:val="fr-FR"/>
              </w:rPr>
            </w:pPr>
          </w:p>
        </w:tc>
      </w:tr>
      <w:tr w:rsidR="00B66B38" w:rsidTr="00B66B38">
        <w:trPr>
          <w:trHeight w:val="290"/>
        </w:trPr>
        <w:tc>
          <w:tcPr>
            <w:tcW w:w="7992" w:type="dxa"/>
            <w:gridSpan w:val="3"/>
            <w:shd w:val="solid" w:color="FFFFFF" w:fill="auto"/>
            <w:hideMark/>
          </w:tcPr>
          <w:p w:rsidR="00B66B38" w:rsidRDefault="00B66B38">
            <w:pPr>
              <w:autoSpaceDE w:val="0"/>
              <w:autoSpaceDN w:val="0"/>
              <w:adjustRightInd w:val="0"/>
              <w:spacing w:after="0"/>
              <w:jc w:val="both"/>
              <w:rPr>
                <w:rFonts w:ascii="Times New Roman" w:hAnsi="Times New Roman" w:cs="Times New Roman"/>
                <w:sz w:val="20"/>
              </w:rPr>
            </w:pPr>
            <w:r>
              <w:rPr>
                <w:rFonts w:ascii="Times New Roman" w:hAnsi="Times New Roman" w:cs="Times New Roman"/>
                <w:sz w:val="20"/>
              </w:rPr>
              <w:t>We compute the marginal effect of industry dummies from specification 5. The reference dummy is the Automobile &amp; Component Industry. Standard error is computed using the delta method.</w:t>
            </w:r>
          </w:p>
        </w:tc>
      </w:tr>
    </w:tbl>
    <w:p w:rsidR="00EE2B19" w:rsidRDefault="00EE2B19"/>
    <w:sectPr w:rsidR="00EE2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38"/>
    <w:rsid w:val="00066DEB"/>
    <w:rsid w:val="00364ACC"/>
    <w:rsid w:val="00544510"/>
    <w:rsid w:val="00691AC9"/>
    <w:rsid w:val="009B0C16"/>
    <w:rsid w:val="00B66B38"/>
    <w:rsid w:val="00EE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B1AA"/>
  <w15:chartTrackingRefBased/>
  <w15:docId w15:val="{B5ACADCF-58C8-49C5-B5E1-440B1909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6B38"/>
    <w:pPr>
      <w:spacing w:after="200" w:line="276" w:lineRule="auto"/>
    </w:pPr>
    <w:rPr>
      <w:lang w:val="en-US"/>
    </w:rPr>
  </w:style>
  <w:style w:type="paragraph" w:styleId="Heading1">
    <w:name w:val="heading 1"/>
    <w:basedOn w:val="Normal"/>
    <w:next w:val="Normal"/>
    <w:link w:val="Heading1Char"/>
    <w:uiPriority w:val="9"/>
    <w:qFormat/>
    <w:rsid w:val="00B66B38"/>
    <w:pPr>
      <w:keepNext/>
      <w:keepLines/>
      <w:spacing w:before="480" w:after="0"/>
      <w:outlineLvl w:val="0"/>
    </w:pPr>
    <w:rPr>
      <w:rFonts w:asciiTheme="majorHAnsi" w:eastAsiaTheme="majorEastAsia" w:hAnsiTheme="majorHAnsi" w:cstheme="majorBidi"/>
      <w:b/>
      <w:bCs/>
      <w:color w:val="2F5496" w:themeColor="accent1" w:themeShade="BF"/>
      <w:sz w:val="28"/>
      <w:szCs w:val="28"/>
      <w:lang w:val="en-GB"/>
    </w:rPr>
  </w:style>
  <w:style w:type="paragraph" w:styleId="Heading2">
    <w:name w:val="heading 2"/>
    <w:basedOn w:val="Normal"/>
    <w:next w:val="Normal"/>
    <w:link w:val="Heading2Char"/>
    <w:uiPriority w:val="9"/>
    <w:semiHidden/>
    <w:unhideWhenUsed/>
    <w:qFormat/>
    <w:rsid w:val="00B66B38"/>
    <w:pPr>
      <w:keepNext/>
      <w:keepLines/>
      <w:spacing w:before="200" w:after="0"/>
      <w:outlineLvl w:val="1"/>
    </w:pPr>
    <w:rPr>
      <w:rFonts w:asciiTheme="majorHAnsi" w:eastAsiaTheme="majorEastAsia" w:hAnsiTheme="majorHAnsi" w:cstheme="majorBidi"/>
      <w:b/>
      <w:bCs/>
      <w:color w:val="4472C4" w:themeColor="accent1"/>
      <w:sz w:val="26"/>
      <w:szCs w:val="26"/>
      <w:lang w:val="en-GB"/>
    </w:rPr>
  </w:style>
  <w:style w:type="paragraph" w:styleId="Heading3">
    <w:name w:val="heading 3"/>
    <w:basedOn w:val="Normal"/>
    <w:next w:val="Normal"/>
    <w:link w:val="Heading3Char"/>
    <w:uiPriority w:val="9"/>
    <w:semiHidden/>
    <w:unhideWhenUsed/>
    <w:qFormat/>
    <w:rsid w:val="00B66B3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66B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B66B3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B66B38"/>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semiHidden/>
    <w:rsid w:val="00B66B38"/>
    <w:rPr>
      <w:rFonts w:asciiTheme="majorHAnsi" w:eastAsiaTheme="majorEastAsia" w:hAnsiTheme="majorHAnsi" w:cstheme="majorBidi"/>
      <w:i/>
      <w:iCs/>
      <w:color w:val="2F5496" w:themeColor="accent1" w:themeShade="BF"/>
      <w:lang w:val="en-US"/>
    </w:rPr>
  </w:style>
  <w:style w:type="character" w:customStyle="1" w:styleId="FootnoteTextChar">
    <w:name w:val="Footnote Text Char"/>
    <w:basedOn w:val="DefaultParagraphFont"/>
    <w:link w:val="FootnoteText"/>
    <w:uiPriority w:val="99"/>
    <w:semiHidden/>
    <w:rsid w:val="00B66B38"/>
    <w:rPr>
      <w:sz w:val="20"/>
      <w:szCs w:val="20"/>
    </w:rPr>
  </w:style>
  <w:style w:type="paragraph" w:styleId="FootnoteText">
    <w:name w:val="footnote text"/>
    <w:basedOn w:val="Normal"/>
    <w:link w:val="FootnoteTextChar"/>
    <w:uiPriority w:val="99"/>
    <w:semiHidden/>
    <w:unhideWhenUsed/>
    <w:rsid w:val="00B66B38"/>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B66B38"/>
    <w:rPr>
      <w:sz w:val="20"/>
      <w:szCs w:val="20"/>
      <w:lang w:val="en-US"/>
    </w:rPr>
  </w:style>
  <w:style w:type="paragraph" w:styleId="CommentText">
    <w:name w:val="annotation text"/>
    <w:basedOn w:val="Normal"/>
    <w:link w:val="CommentTextChar"/>
    <w:uiPriority w:val="99"/>
    <w:semiHidden/>
    <w:unhideWhenUsed/>
    <w:rsid w:val="00B66B38"/>
    <w:pPr>
      <w:spacing w:line="240" w:lineRule="auto"/>
    </w:pPr>
    <w:rPr>
      <w:sz w:val="20"/>
      <w:szCs w:val="20"/>
    </w:rPr>
  </w:style>
  <w:style w:type="character" w:customStyle="1" w:styleId="HeaderChar">
    <w:name w:val="Header Char"/>
    <w:basedOn w:val="DefaultParagraphFont"/>
    <w:link w:val="Header"/>
    <w:uiPriority w:val="99"/>
    <w:semiHidden/>
    <w:rsid w:val="00B66B38"/>
    <w:rPr>
      <w:lang w:val="en-US"/>
    </w:rPr>
  </w:style>
  <w:style w:type="paragraph" w:styleId="Header">
    <w:name w:val="header"/>
    <w:basedOn w:val="Normal"/>
    <w:link w:val="HeaderChar"/>
    <w:uiPriority w:val="99"/>
    <w:semiHidden/>
    <w:unhideWhenUsed/>
    <w:rsid w:val="00B66B3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66B38"/>
    <w:rPr>
      <w:lang w:val="en-US"/>
    </w:rPr>
  </w:style>
  <w:style w:type="paragraph" w:styleId="Footer">
    <w:name w:val="footer"/>
    <w:basedOn w:val="Normal"/>
    <w:link w:val="FooterChar"/>
    <w:uiPriority w:val="99"/>
    <w:semiHidden/>
    <w:unhideWhenUsed/>
    <w:rsid w:val="00B66B38"/>
    <w:pPr>
      <w:tabs>
        <w:tab w:val="center" w:pos="4536"/>
        <w:tab w:val="right" w:pos="9072"/>
      </w:tabs>
      <w:spacing w:after="0" w:line="240" w:lineRule="auto"/>
    </w:pPr>
  </w:style>
  <w:style w:type="character" w:customStyle="1" w:styleId="EndnoteTextChar">
    <w:name w:val="Endnote Text Char"/>
    <w:basedOn w:val="DefaultParagraphFont"/>
    <w:link w:val="EndnoteText"/>
    <w:uiPriority w:val="99"/>
    <w:semiHidden/>
    <w:rsid w:val="00B66B38"/>
    <w:rPr>
      <w:rFonts w:ascii="Times New Roman" w:eastAsia="MS Mincho" w:hAnsi="Times New Roman" w:cs="Times New Roman"/>
      <w:sz w:val="20"/>
      <w:szCs w:val="20"/>
      <w:lang w:val="en-US"/>
    </w:rPr>
  </w:style>
  <w:style w:type="paragraph" w:styleId="EndnoteText">
    <w:name w:val="endnote text"/>
    <w:basedOn w:val="Normal"/>
    <w:link w:val="EndnoteTextChar"/>
    <w:uiPriority w:val="99"/>
    <w:semiHidden/>
    <w:unhideWhenUsed/>
    <w:rsid w:val="00B66B38"/>
    <w:pPr>
      <w:spacing w:after="0" w:line="240" w:lineRule="auto"/>
    </w:pPr>
    <w:rPr>
      <w:rFonts w:ascii="Times New Roman" w:eastAsia="MS Mincho" w:hAnsi="Times New Roman" w:cs="Times New Roman"/>
      <w:sz w:val="20"/>
      <w:szCs w:val="20"/>
    </w:rPr>
  </w:style>
  <w:style w:type="character" w:customStyle="1" w:styleId="CommentSubjectChar">
    <w:name w:val="Comment Subject Char"/>
    <w:basedOn w:val="CommentTextChar"/>
    <w:link w:val="CommentSubject"/>
    <w:uiPriority w:val="99"/>
    <w:semiHidden/>
    <w:rsid w:val="00B66B38"/>
    <w:rPr>
      <w:b/>
      <w:bCs/>
      <w:sz w:val="20"/>
      <w:szCs w:val="20"/>
      <w:lang w:val="en-US"/>
    </w:rPr>
  </w:style>
  <w:style w:type="paragraph" w:styleId="CommentSubject">
    <w:name w:val="annotation subject"/>
    <w:basedOn w:val="CommentText"/>
    <w:next w:val="CommentText"/>
    <w:link w:val="CommentSubjectChar"/>
    <w:uiPriority w:val="99"/>
    <w:semiHidden/>
    <w:unhideWhenUsed/>
    <w:rsid w:val="00B66B38"/>
    <w:rPr>
      <w:b/>
      <w:bCs/>
    </w:rPr>
  </w:style>
  <w:style w:type="character" w:customStyle="1" w:styleId="BalloonTextChar">
    <w:name w:val="Balloon Text Char"/>
    <w:basedOn w:val="DefaultParagraphFont"/>
    <w:link w:val="BalloonText"/>
    <w:uiPriority w:val="99"/>
    <w:semiHidden/>
    <w:rsid w:val="00B66B38"/>
    <w:rPr>
      <w:rFonts w:ascii="Tahoma" w:hAnsi="Tahoma" w:cs="Tahoma"/>
      <w:sz w:val="16"/>
      <w:szCs w:val="16"/>
    </w:rPr>
  </w:style>
  <w:style w:type="paragraph" w:styleId="BalloonText">
    <w:name w:val="Balloon Text"/>
    <w:basedOn w:val="Normal"/>
    <w:link w:val="BalloonTextChar"/>
    <w:uiPriority w:val="99"/>
    <w:semiHidden/>
    <w:unhideWhenUsed/>
    <w:rsid w:val="00B66B38"/>
    <w:pPr>
      <w:spacing w:after="0" w:line="240" w:lineRule="auto"/>
    </w:pPr>
    <w:rPr>
      <w:rFonts w:ascii="Tahoma" w:hAnsi="Tahoma" w:cs="Tahoma"/>
      <w:sz w:val="16"/>
      <w:szCs w:val="16"/>
      <w:lang w:val="en-GB"/>
    </w:rPr>
  </w:style>
  <w:style w:type="character" w:customStyle="1" w:styleId="EndNoteBibliographyTitleChar">
    <w:name w:val="EndNote Bibliography Title Char"/>
    <w:basedOn w:val="DefaultParagraphFont"/>
    <w:link w:val="EndNoteBibliographyTitle"/>
    <w:locked/>
    <w:rsid w:val="00B66B38"/>
    <w:rPr>
      <w:rFonts w:ascii="Calibri" w:hAnsi="Calibri" w:cs="Calibri"/>
      <w:noProof/>
      <w:lang w:val="en-US"/>
    </w:rPr>
  </w:style>
  <w:style w:type="paragraph" w:customStyle="1" w:styleId="EndNoteBibliographyTitle">
    <w:name w:val="EndNote Bibliography Title"/>
    <w:basedOn w:val="Normal"/>
    <w:link w:val="EndNoteBibliographyTitleChar"/>
    <w:rsid w:val="00B66B38"/>
    <w:pPr>
      <w:spacing w:after="0"/>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B66B38"/>
    <w:rPr>
      <w:rFonts w:ascii="Calibri" w:hAnsi="Calibri" w:cs="Calibri"/>
      <w:noProof/>
      <w:lang w:val="en-US"/>
    </w:rPr>
  </w:style>
  <w:style w:type="paragraph" w:customStyle="1" w:styleId="EndNoteBibliography">
    <w:name w:val="EndNote Bibliography"/>
    <w:basedOn w:val="Normal"/>
    <w:link w:val="EndNoteBibliographyChar"/>
    <w:rsid w:val="00B66B38"/>
    <w:pPr>
      <w:spacing w:line="240" w:lineRule="auto"/>
    </w:pPr>
    <w:rPr>
      <w:rFonts w:ascii="Calibri" w:hAnsi="Calibri" w:cs="Calibri"/>
      <w:noProof/>
    </w:rPr>
  </w:style>
  <w:style w:type="character" w:styleId="Hyperlink">
    <w:name w:val="Hyperlink"/>
    <w:basedOn w:val="DefaultParagraphFont"/>
    <w:uiPriority w:val="99"/>
    <w:semiHidden/>
    <w:unhideWhenUsed/>
    <w:rsid w:val="00B66B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E:\Research\Paper%201\Data_paper1\Div_Ina_IJB_2017.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Indra Wardhana</dc:creator>
  <cp:keywords/>
  <dc:description/>
  <cp:lastModifiedBy>Leo Indra Wardhana</cp:lastModifiedBy>
  <cp:revision>2</cp:revision>
  <dcterms:created xsi:type="dcterms:W3CDTF">2017-05-24T02:22:00Z</dcterms:created>
  <dcterms:modified xsi:type="dcterms:W3CDTF">2017-05-24T04:21:00Z</dcterms:modified>
</cp:coreProperties>
</file>