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8D324" w14:textId="77777777" w:rsidR="00A928D3" w:rsidRDefault="00A928D3" w:rsidP="00A928D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b/>
          <w:noProof/>
        </w:rPr>
        <w:t>APPENDIX</w:t>
      </w:r>
    </w:p>
    <w:p w14:paraId="41C8CC38" w14:textId="2F83E6A3" w:rsidR="00A928D3" w:rsidRPr="00E406D4" w:rsidRDefault="00EC5969" w:rsidP="00A928D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b/>
          <w:noProof/>
        </w:rPr>
        <w:t>NIH</w:t>
      </w:r>
      <w:r w:rsidR="00A928D3">
        <w:rPr>
          <w:b/>
          <w:noProof/>
        </w:rPr>
        <w:t xml:space="preserve"> Quality Asses</w:t>
      </w:r>
      <w:r w:rsidR="002D6D9A">
        <w:rPr>
          <w:b/>
          <w:noProof/>
        </w:rPr>
        <w:t>s</w:t>
      </w:r>
      <w:r w:rsidR="00A928D3">
        <w:rPr>
          <w:b/>
          <w:noProof/>
        </w:rPr>
        <w:t>ment for Cohort and Cross-sectional Studies</w:t>
      </w:r>
    </w:p>
    <w:tbl>
      <w:tblPr>
        <w:tblW w:w="15756" w:type="dxa"/>
        <w:tblInd w:w="-1004" w:type="dxa"/>
        <w:tblLayout w:type="fixed"/>
        <w:tblLook w:val="04A0" w:firstRow="1" w:lastRow="0" w:firstColumn="1" w:lastColumn="0" w:noHBand="0" w:noVBand="1"/>
      </w:tblPr>
      <w:tblGrid>
        <w:gridCol w:w="1050"/>
        <w:gridCol w:w="729"/>
        <w:gridCol w:w="814"/>
        <w:gridCol w:w="922"/>
        <w:gridCol w:w="1528"/>
        <w:gridCol w:w="825"/>
        <w:gridCol w:w="810"/>
        <w:gridCol w:w="990"/>
        <w:gridCol w:w="1170"/>
        <w:gridCol w:w="1170"/>
        <w:gridCol w:w="720"/>
        <w:gridCol w:w="1350"/>
        <w:gridCol w:w="720"/>
        <w:gridCol w:w="1080"/>
        <w:gridCol w:w="1170"/>
        <w:gridCol w:w="708"/>
      </w:tblGrid>
      <w:tr w:rsidR="00A928D3" w:rsidRPr="00F00C73" w14:paraId="0C51EAA9" w14:textId="77777777" w:rsidTr="00167EC4">
        <w:trPr>
          <w:trHeight w:val="250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66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7E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Research question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was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 clearly stated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53F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learly specified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tudy population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FD6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The participation rate of eligible persons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was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 at least 50%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CE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The subjects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were 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selected or recruited from the same or similar populations (i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ncluding the same time period). 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Inclusion and exclusion criteria for being in the study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was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 applied uniformly to all participants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3D8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Provided a sample size justification, power description, or variance and effect estimates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A5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The exposure(s) of interest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was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 measured prior to the outcome(s) being measured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2FF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The timeframe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was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 sufficient so that one could reasonably expect to see an association between exposure and outcome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8C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Examined different levels of the exposure as related to the outcome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C0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The exposure measures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were 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clearly defined, valid, reliable, and implemented consistently across all study participants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17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The exposure(s)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was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 assessed more than once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A46" w14:textId="77777777" w:rsidR="00A928D3" w:rsidRPr="00F00C73" w:rsidRDefault="00A928D3" w:rsidP="00167EC4">
            <w:pPr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The outcome measures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were 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clearly defined, valid, reliable, and implemented consistently across all study participants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1A65" w14:textId="77777777" w:rsidR="00A928D3" w:rsidRPr="00F00C73" w:rsidRDefault="00A928D3" w:rsidP="00167EC4">
            <w:pPr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The outcome assessors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were 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blinded to the exposure status of participants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305" w14:textId="77777777" w:rsidR="00A928D3" w:rsidRPr="00F00C73" w:rsidRDefault="00A928D3" w:rsidP="00167EC4">
            <w:pPr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Loss to follow-up after baseline was 20% or less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A3F" w14:textId="77777777" w:rsidR="00A928D3" w:rsidRPr="00F00C73" w:rsidRDefault="00A928D3" w:rsidP="00167EC4">
            <w:pPr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 xml:space="preserve">Key potential confounding variables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were </w:t>
            </w:r>
            <w:r w:rsidRPr="00F00C73">
              <w:rPr>
                <w:rFonts w:eastAsia="Times New Roman"/>
                <w:color w:val="000000"/>
                <w:sz w:val="18"/>
                <w:szCs w:val="18"/>
              </w:rPr>
              <w:t>measured and adjusted statistically for their impact on the relationship between exposure(s) and outcome(s)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39" w14:textId="77777777" w:rsidR="00A928D3" w:rsidRPr="00F00C73" w:rsidRDefault="00A928D3" w:rsidP="00167EC4">
            <w:pPr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TOTAL</w:t>
            </w:r>
          </w:p>
        </w:tc>
      </w:tr>
      <w:tr w:rsidR="00A928D3" w:rsidRPr="00F00C73" w14:paraId="102E0B95" w14:textId="77777777" w:rsidTr="00167EC4">
        <w:trPr>
          <w:trHeight w:val="86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2B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Haim Shmilovich, et,al. (USA, 2012)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F4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3BE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EF5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9A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40D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D2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F56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93F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186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994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63B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36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236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98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C89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A928D3" w:rsidRPr="00F00C73" w14:paraId="0446A815" w14:textId="77777777" w:rsidTr="00167EC4">
        <w:trPr>
          <w:trHeight w:val="86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79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Xing Li Wu, et.al. (China, 2014)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BCA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0C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92A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090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A4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07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2A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81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C63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579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2E04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2F3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9B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52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6216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A928D3" w:rsidRPr="00F00C73" w14:paraId="0F4EC330" w14:textId="77777777" w:rsidTr="00167EC4">
        <w:trPr>
          <w:trHeight w:val="10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90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﻿Mahdi Montazeri, et.al. (Iran, 2014)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CC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27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E9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FD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E31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844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37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4F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14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1A9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D8E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66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71B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B0B1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64B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A928D3" w:rsidRPr="00F00C73" w14:paraId="70243D0C" w14:textId="77777777" w:rsidTr="00167EC4">
        <w:trPr>
          <w:trHeight w:val="10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D1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﻿Mahdi Montazeri, et.al. (Iran, 2014)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41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929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59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63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E3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657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CF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24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EEC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1A3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B7D4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F8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5A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593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DB5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A928D3" w:rsidRPr="00F00C73" w14:paraId="7A0DC3C1" w14:textId="77777777" w:rsidTr="00167EC4">
        <w:trPr>
          <w:trHeight w:val="1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DC7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lastRenderedPageBreak/>
              <w:t>Mette Christoffersen, et.al. (Denmark, 2014)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724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199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93A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46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517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FF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7B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838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A90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93B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379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3F4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82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ED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B5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</w:tr>
      <w:tr w:rsidR="00A928D3" w:rsidRPr="00F00C73" w14:paraId="32097EEC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CF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Xuwei Hou, et.al. (China, 2015)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2B8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B6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B0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7B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945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7D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21A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20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E2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36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B4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DF9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2CBD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5336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E8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</w:tr>
      <w:tr w:rsidR="00A928D3" w:rsidRPr="00F00C73" w14:paraId="281172E9" w14:textId="77777777" w:rsidTr="00167EC4">
        <w:trPr>
          <w:trHeight w:val="10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039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Claudia Rodríguez-López, et.al. (Spain, 2015)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B7B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38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17C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61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FC8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982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38A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589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13A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28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81C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7C9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A4A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3ED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76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</w:tr>
      <w:tr w:rsidR="00A928D3" w:rsidRPr="00F00C73" w14:paraId="7E125D95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BF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Yong Wang, et.al. (China, 2016)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1CA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6D3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A21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199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338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F6A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285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F92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2B5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483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F7A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8F1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6D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523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52E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A928D3" w:rsidRPr="00F00C73" w14:paraId="5BEF26F4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174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﻿S. Viveka, et.al. (India, 2016)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422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943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99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EF9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0C0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ED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B0E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AF6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C37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E29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C56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28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7794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DF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F25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A928D3" w:rsidRPr="00F00C73" w14:paraId="6D946517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F7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﻿Amit Kumar (India, 2016)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EC5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2C4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C5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1A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2A7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39A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DC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89A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109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E51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FC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8C4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80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FDD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4608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A928D3" w:rsidRPr="00F00C73" w14:paraId="69638460" w14:textId="77777777" w:rsidTr="00167EC4">
        <w:trPr>
          <w:trHeight w:val="10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86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Marta Aligisakis, et.al. (Swiss, 2016)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658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2EAD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5C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0DF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FD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3B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75C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176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A88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224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D275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C99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A6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76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85CB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A928D3" w:rsidRPr="00F00C73" w14:paraId="1CF8DC57" w14:textId="77777777" w:rsidTr="00167EC4">
        <w:trPr>
          <w:trHeight w:val="10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99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Minako Wakasugi, et.al. (Japan, 2017)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033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3B4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2A7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039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375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D6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E7E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D46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F3D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68E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82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8BFD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85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7E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B2A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</w:tr>
      <w:tr w:rsidR="00A928D3" w:rsidRPr="00F00C73" w14:paraId="66AF1390" w14:textId="77777777" w:rsidTr="00167EC4">
        <w:trPr>
          <w:trHeight w:val="1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C68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Himmatrao Saluba Bawaskar, et.al. (India, 2018)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097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5E6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10B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6BD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9FA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97F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FDE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992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42C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36D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81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80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AD08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963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EEA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A928D3" w:rsidRPr="00F00C73" w14:paraId="74540270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84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﻿Anil Kumar, et.al. (India, 2018)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AE30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323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4C7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4A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E11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7B6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4FB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10A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AE6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C08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882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834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C6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41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32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A928D3" w:rsidRPr="00F00C73" w14:paraId="255D5474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82E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Vikas Mishra, et.al. (India, 2020)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369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85C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53F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70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74E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1FA1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4F9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F1A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A526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7FB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724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30F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B22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29C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CDF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</w:tr>
      <w:tr w:rsidR="00A928D3" w:rsidRPr="00F00C73" w14:paraId="249F6F69" w14:textId="77777777" w:rsidTr="00167EC4">
        <w:trPr>
          <w:trHeight w:val="78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BDE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﻿Ehrlson De Sousa, et.al. (India, 2020)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557A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030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4DD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948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B2F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B39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37E4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FAD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1D1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022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4F7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FEB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04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610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05B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A928D3" w:rsidRPr="00F00C73" w14:paraId="37C18F47" w14:textId="77777777" w:rsidTr="00167EC4">
        <w:trPr>
          <w:trHeight w:val="10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0E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Minako Wakasugi, et.al. (Japan, 2020)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26BB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BFD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176F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DAFC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D155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9747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39C3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5C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31E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7339" w14:textId="77777777" w:rsidR="00A928D3" w:rsidRPr="00F00C73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CEE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D9A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04D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8E45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ADCD" w14:textId="77777777" w:rsidR="00A928D3" w:rsidRPr="00F00C73" w:rsidRDefault="00A928D3" w:rsidP="00167E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0C73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</w:tr>
    </w:tbl>
    <w:p w14:paraId="17A26FBC" w14:textId="77777777" w:rsidR="00A928D3" w:rsidRDefault="00A928D3" w:rsidP="00A928D3">
      <w:pPr>
        <w:spacing w:line="360" w:lineRule="auto"/>
        <w:jc w:val="both"/>
        <w:rPr>
          <w:b/>
          <w:noProof/>
        </w:rPr>
      </w:pPr>
    </w:p>
    <w:p w14:paraId="4DA54A13" w14:textId="7233C5D7" w:rsidR="00A928D3" w:rsidRDefault="005F3D00" w:rsidP="00A928D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>
        <w:rPr>
          <w:b/>
          <w:noProof/>
        </w:rPr>
        <w:t>NIH</w:t>
      </w:r>
      <w:r w:rsidR="00A928D3">
        <w:rPr>
          <w:b/>
          <w:noProof/>
        </w:rPr>
        <w:t xml:space="preserve"> Quality Asses</w:t>
      </w:r>
      <w:r w:rsidR="002D6D9A">
        <w:rPr>
          <w:b/>
          <w:noProof/>
        </w:rPr>
        <w:t>s</w:t>
      </w:r>
      <w:bookmarkStart w:id="0" w:name="_GoBack"/>
      <w:bookmarkEnd w:id="0"/>
      <w:r w:rsidR="00A928D3">
        <w:rPr>
          <w:b/>
          <w:noProof/>
        </w:rPr>
        <w:t>ment for Case-control Studies</w:t>
      </w:r>
    </w:p>
    <w:tbl>
      <w:tblPr>
        <w:tblW w:w="15401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1344"/>
        <w:gridCol w:w="1103"/>
        <w:gridCol w:w="1048"/>
        <w:gridCol w:w="1148"/>
        <w:gridCol w:w="1081"/>
        <w:gridCol w:w="1235"/>
        <w:gridCol w:w="1131"/>
        <w:gridCol w:w="1322"/>
        <w:gridCol w:w="892"/>
        <w:gridCol w:w="1489"/>
        <w:gridCol w:w="968"/>
        <w:gridCol w:w="790"/>
        <w:gridCol w:w="968"/>
        <w:gridCol w:w="882"/>
      </w:tblGrid>
      <w:tr w:rsidR="00A928D3" w:rsidRPr="00CC698F" w14:paraId="048F1022" w14:textId="77777777" w:rsidTr="00167EC4">
        <w:trPr>
          <w:trHeight w:val="255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9F61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3C54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The research question or objective in this paper was clearly stated and appropriate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5888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The study population was clearly specified and defined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102E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The authors included a sample size justification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615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Controls were recruited from the same or similar population that gave rise to the cases (including the same timeframe)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783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 xml:space="preserve">The definitions, inclusion and exclusion criteria, algorithms or processes used to identify or select cases and controls were valid, reliable, and implemented consistently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D4EF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The cases were clearly defined and differentiated from controls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570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 xml:space="preserve">If less than 100 percent of eligible cases and/or controls were selected for the study, the cases and/or controls were randomly selected from those eligible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A30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There was use of concurrent controls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D0FB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The investigators were able to confirm that the exposure/risk occurred prior to the development of the condition or event that defined a participant as a case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1C73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 xml:space="preserve">The measures of exposure/risk were clearly defined, valid, reliable, and implemented consistently (including the same time period)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5DDD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 xml:space="preserve">The assessors of exposure/risk were blinded to the case or control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B50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Key potential confounding variables were measured and adjusted statistically in the analyses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A8B5" w14:textId="77777777" w:rsidR="00A928D3" w:rsidRPr="00CC698F" w:rsidRDefault="00A928D3" w:rsidP="00167EC4">
            <w:pPr>
              <w:jc w:val="center"/>
              <w:rPr>
                <w:rFonts w:eastAsia="Times New Roman"/>
                <w:color w:val="222222"/>
                <w:sz w:val="18"/>
                <w:szCs w:val="18"/>
              </w:rPr>
            </w:pPr>
            <w:r w:rsidRPr="00CC698F">
              <w:rPr>
                <w:rFonts w:eastAsia="Times New Roman"/>
                <w:color w:val="222222"/>
                <w:sz w:val="18"/>
                <w:szCs w:val="18"/>
              </w:rPr>
              <w:t>TOTAL</w:t>
            </w:r>
          </w:p>
        </w:tc>
      </w:tr>
      <w:tr w:rsidR="00A928D3" w:rsidRPr="00CC698F" w14:paraId="534CCAF3" w14:textId="77777777" w:rsidTr="00167EC4">
        <w:trPr>
          <w:trHeight w:val="524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9CCC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Lorna Kwai-Ping Suen, et.al. (Hong Kong, 2012)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4402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CAFC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940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2C77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E43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1953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6CB4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 xml:space="preserve">Not Applicable (all cases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and controls </w:t>
            </w:r>
            <w:r w:rsidRPr="00CC698F">
              <w:rPr>
                <w:rFonts w:eastAsia="Times New Roman"/>
                <w:color w:val="000000"/>
                <w:sz w:val="18"/>
                <w:szCs w:val="18"/>
              </w:rPr>
              <w:t>were eligible)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1048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A4C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DBAA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0297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422F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CB0E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</w:tr>
      <w:tr w:rsidR="00A928D3" w:rsidRPr="00CC698F" w14:paraId="5FF711E9" w14:textId="77777777" w:rsidTr="00167EC4">
        <w:trPr>
          <w:trHeight w:val="524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7A6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Rida Kamal, et.al. (Pakistan, 2017)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404F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EAD8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9A3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B88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EEE3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552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FE0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 xml:space="preserve">Not Applicable (all cases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and controls </w:t>
            </w:r>
            <w:r w:rsidRPr="00CC698F">
              <w:rPr>
                <w:rFonts w:eastAsia="Times New Roman"/>
                <w:color w:val="000000"/>
                <w:sz w:val="18"/>
                <w:szCs w:val="18"/>
              </w:rPr>
              <w:t>were eligible)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99FC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2892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4294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03ED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84F9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1130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</w:tr>
      <w:tr w:rsidR="00A928D3" w:rsidRPr="00CC698F" w14:paraId="2D0B902C" w14:textId="77777777" w:rsidTr="00167EC4">
        <w:trPr>
          <w:trHeight w:val="524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0FAF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Praveenkumar Ramdurg, et.al. (India, 2018)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F9B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652B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14BE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62B6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C7F9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457E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8CA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 xml:space="preserve">Not Applicable (all cases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and controls </w:t>
            </w:r>
            <w:r w:rsidRPr="00CC698F">
              <w:rPr>
                <w:rFonts w:eastAsia="Times New Roman"/>
                <w:color w:val="000000"/>
                <w:sz w:val="18"/>
                <w:szCs w:val="18"/>
              </w:rPr>
              <w:t>were eligible)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DB4E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04B8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E853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9E20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3A12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9589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A928D3" w:rsidRPr="00CC698F" w14:paraId="494C0469" w14:textId="77777777" w:rsidTr="00167EC4">
        <w:trPr>
          <w:trHeight w:val="524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B4F0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Rahul Kumar Sharma, et.al. (India, 2018)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2392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5D5A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9D8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D7F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710E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D73C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EFE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 xml:space="preserve">Not Applicable (all cases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and controls </w:t>
            </w:r>
            <w:r w:rsidRPr="00CC698F">
              <w:rPr>
                <w:rFonts w:eastAsia="Times New Roman"/>
                <w:color w:val="000000"/>
                <w:sz w:val="18"/>
                <w:szCs w:val="18"/>
              </w:rPr>
              <w:t>were eligible)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DC67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2500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32B7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556B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D9E5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C883" w14:textId="77777777" w:rsidR="00A928D3" w:rsidRPr="00CC698F" w:rsidRDefault="00A928D3" w:rsidP="00167E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C698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452112C" w14:textId="77777777" w:rsidR="008A0081" w:rsidRDefault="002D6D9A"/>
    <w:sectPr w:rsidR="008A0081" w:rsidSect="00A928D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D3"/>
    <w:rsid w:val="002D6D9A"/>
    <w:rsid w:val="00337027"/>
    <w:rsid w:val="00440438"/>
    <w:rsid w:val="00472605"/>
    <w:rsid w:val="00520647"/>
    <w:rsid w:val="00574766"/>
    <w:rsid w:val="005F3D00"/>
    <w:rsid w:val="006513D6"/>
    <w:rsid w:val="006A58C2"/>
    <w:rsid w:val="006F0C5B"/>
    <w:rsid w:val="00731BEF"/>
    <w:rsid w:val="008C3069"/>
    <w:rsid w:val="00A928D3"/>
    <w:rsid w:val="00B06ABB"/>
    <w:rsid w:val="00B268E3"/>
    <w:rsid w:val="00B835D3"/>
    <w:rsid w:val="00CF3CBA"/>
    <w:rsid w:val="00D453D5"/>
    <w:rsid w:val="00E56E1E"/>
    <w:rsid w:val="00EC5969"/>
    <w:rsid w:val="00E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E4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28D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3599</Characters>
  <Application>Microsoft Macintosh Word</Application>
  <DocSecurity>0</DocSecurity>
  <Lines>29</Lines>
  <Paragraphs>8</Paragraphs>
  <ScaleCrop>false</ScaleCrop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Ricardo Hamonangan</dc:creator>
  <cp:keywords/>
  <dc:description/>
  <cp:lastModifiedBy>Jonathan Ricardo Hamonangan</cp:lastModifiedBy>
  <cp:revision>4</cp:revision>
  <dcterms:created xsi:type="dcterms:W3CDTF">2021-02-10T03:41:00Z</dcterms:created>
  <dcterms:modified xsi:type="dcterms:W3CDTF">2021-02-17T13:29:00Z</dcterms:modified>
</cp:coreProperties>
</file>